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0F889" w14:textId="79CBD334" w:rsidR="00766713" w:rsidRPr="00903A30" w:rsidRDefault="00766713" w:rsidP="00066DD1">
      <w:pPr>
        <w:spacing w:line="240" w:lineRule="auto"/>
        <w:ind w:left="-58" w:firstLine="720"/>
        <w:contextualSpacing/>
        <w:jc w:val="right"/>
        <w:rPr>
          <w:rFonts w:ascii="Alef" w:hAnsi="Alef" w:cs="Alef"/>
          <w:rtl/>
        </w:rPr>
      </w:pPr>
      <w:bookmarkStart w:id="0" w:name="_GoBack"/>
      <w:bookmarkEnd w:id="0"/>
      <w:r w:rsidRPr="00903A30">
        <w:rPr>
          <w:rFonts w:ascii="Alef" w:hAnsi="Alef" w:cs="Alef"/>
          <w:rtl/>
        </w:rPr>
        <w:t>ירושלים, ‏</w:t>
      </w:r>
      <w:r w:rsidR="00763AFC">
        <w:rPr>
          <w:rFonts w:ascii="Alef" w:hAnsi="Alef" w:cs="Alef" w:hint="eastAsia"/>
          <w:rtl/>
        </w:rPr>
        <w:t>‏</w:t>
      </w:r>
      <w:r w:rsidR="00066DD1">
        <w:rPr>
          <w:rFonts w:ascii="Alef" w:hAnsi="Alef" w:cs="Alef" w:hint="eastAsia"/>
          <w:rtl/>
        </w:rPr>
        <w:t>‏כ</w:t>
      </w:r>
      <w:r w:rsidR="00066DD1">
        <w:rPr>
          <w:rFonts w:ascii="Alef" w:hAnsi="Alef" w:cs="Alef"/>
          <w:rtl/>
        </w:rPr>
        <w:t xml:space="preserve">"ג </w:t>
      </w:r>
      <w:r w:rsidR="00066DD1">
        <w:rPr>
          <w:rFonts w:ascii="Alef" w:hAnsi="Alef" w:cs="Alef" w:hint="cs"/>
          <w:rtl/>
        </w:rPr>
        <w:t>ב</w:t>
      </w:r>
      <w:r w:rsidR="00066DD1">
        <w:rPr>
          <w:rFonts w:ascii="Alef" w:hAnsi="Alef" w:cs="Alef"/>
          <w:rtl/>
        </w:rPr>
        <w:t>אב תשפ"א</w:t>
      </w:r>
    </w:p>
    <w:p w14:paraId="60CB65D3" w14:textId="6F86C94D" w:rsidR="00766713" w:rsidRPr="00903A30" w:rsidRDefault="00763AFC" w:rsidP="00066DD1">
      <w:pPr>
        <w:spacing w:line="240" w:lineRule="auto"/>
        <w:ind w:left="-58" w:firstLine="720"/>
        <w:contextualSpacing/>
        <w:jc w:val="right"/>
        <w:rPr>
          <w:rFonts w:ascii="Alef" w:hAnsi="Alef" w:cs="Alef"/>
        </w:rPr>
      </w:pPr>
      <w:r w:rsidRPr="00903A30">
        <w:rPr>
          <w:rFonts w:ascii="Alef" w:hAnsi="Alef" w:cs="Alef"/>
        </w:rPr>
        <w:fldChar w:fldCharType="begin"/>
      </w:r>
      <w:r w:rsidRPr="00903A30">
        <w:rPr>
          <w:rFonts w:ascii="Alef" w:hAnsi="Alef" w:cs="Alef"/>
        </w:rPr>
        <w:instrText xml:space="preserve"> DOCPROPERTY  DocDateEng  \* MERGEFORMAT </w:instrText>
      </w:r>
      <w:r w:rsidRPr="00903A30">
        <w:rPr>
          <w:rFonts w:ascii="Alef" w:hAnsi="Alef" w:cs="Alef"/>
        </w:rPr>
        <w:fldChar w:fldCharType="separate"/>
      </w:r>
      <w:r w:rsidR="00066DD1">
        <w:rPr>
          <w:rFonts w:ascii="Alef" w:hAnsi="Alef" w:cs="Alef" w:hint="cs"/>
          <w:rtl/>
        </w:rPr>
        <w:t>1</w:t>
      </w:r>
      <w:r w:rsidRPr="00903A30">
        <w:rPr>
          <w:rFonts w:ascii="Alef" w:hAnsi="Alef" w:cs="Alef"/>
          <w:rtl/>
        </w:rPr>
        <w:t xml:space="preserve"> </w:t>
      </w:r>
      <w:r w:rsidR="00066DD1">
        <w:rPr>
          <w:rFonts w:ascii="Alef" w:hAnsi="Alef" w:cs="Alef" w:hint="cs"/>
          <w:rtl/>
        </w:rPr>
        <w:t>באוגוסט</w:t>
      </w:r>
      <w:r w:rsidRPr="00903A30">
        <w:rPr>
          <w:rFonts w:ascii="Alef" w:hAnsi="Alef" w:cs="Alef"/>
          <w:rtl/>
        </w:rPr>
        <w:t xml:space="preserve"> 2020</w:t>
      </w:r>
      <w:r w:rsidRPr="00903A30">
        <w:rPr>
          <w:rFonts w:ascii="Alef" w:hAnsi="Alef" w:cs="Alef"/>
        </w:rPr>
        <w:fldChar w:fldCharType="end"/>
      </w:r>
    </w:p>
    <w:p w14:paraId="0CD57F68" w14:textId="77777777" w:rsidR="00066DD1" w:rsidRDefault="00066DD1" w:rsidP="000A4592">
      <w:pPr>
        <w:spacing w:line="240" w:lineRule="auto"/>
        <w:contextualSpacing/>
        <w:jc w:val="center"/>
        <w:rPr>
          <w:rFonts w:ascii="Alef" w:hAnsi="Alef" w:cs="Alef"/>
          <w:b/>
          <w:bCs/>
          <w:rtl/>
        </w:rPr>
      </w:pPr>
    </w:p>
    <w:p w14:paraId="49580C6D" w14:textId="1B725938" w:rsidR="00766713" w:rsidRPr="00903A30" w:rsidRDefault="00F10D21" w:rsidP="00F44555">
      <w:pPr>
        <w:spacing w:after="240"/>
        <w:contextualSpacing/>
        <w:jc w:val="center"/>
        <w:rPr>
          <w:rFonts w:ascii="Alef" w:hAnsi="Alef" w:cs="Alef"/>
          <w:b/>
          <w:bCs/>
          <w:rtl/>
        </w:rPr>
      </w:pPr>
      <w:sdt>
        <w:sdtPr>
          <w:rPr>
            <w:rFonts w:ascii="Alef" w:hAnsi="Alef" w:cs="Alef"/>
            <w:b/>
            <w:bCs/>
            <w:rtl/>
          </w:rPr>
          <w:id w:val="-1814639980"/>
          <w:placeholder>
            <w:docPart w:val="159FFE91E9B943E1B9E2BFE760E6FBDA"/>
          </w:placeholder>
          <w:dropDownList>
            <w:listItem w:displayText="הנדון:" w:value="הנדון:"/>
            <w:listItem w:displayText=" " w:value="ריק"/>
          </w:dropDownList>
        </w:sdtPr>
        <w:sdtEndPr/>
        <w:sdtContent>
          <w:r w:rsidR="00766713" w:rsidRPr="00025522">
            <w:rPr>
              <w:rFonts w:ascii="Alef" w:hAnsi="Alef" w:cs="Alef"/>
              <w:b/>
              <w:bCs/>
              <w:rtl/>
            </w:rPr>
            <w:t>הנדון:</w:t>
          </w:r>
        </w:sdtContent>
      </w:sdt>
      <w:r w:rsidR="00766713" w:rsidRPr="00F44555">
        <w:rPr>
          <w:rStyle w:val="6"/>
          <w:rFonts w:ascii="Alef" w:hAnsi="Alef" w:cs="Alef"/>
          <w:u w:val="none"/>
          <w:rtl/>
        </w:rPr>
        <w:t xml:space="preserve"> </w:t>
      </w:r>
      <w:r w:rsidR="00766713" w:rsidRPr="00903A30">
        <w:rPr>
          <w:rFonts w:ascii="Alef" w:eastAsiaTheme="minorHAnsi" w:hAnsi="Alef" w:cs="Alef"/>
          <w:b/>
          <w:bCs/>
          <w:u w:val="single"/>
          <w:rtl/>
        </w:rPr>
        <w:t>עמדת רשות התחרות בי</w:t>
      </w:r>
      <w:r w:rsidR="000A4592">
        <w:rPr>
          <w:rFonts w:ascii="Alef" w:eastAsiaTheme="minorHAnsi" w:hAnsi="Alef" w:cs="Alef"/>
          <w:b/>
          <w:bCs/>
          <w:u w:val="single"/>
          <w:rtl/>
        </w:rPr>
        <w:t>חס לטיוטת התכנית הכלכלית ל</w:t>
      </w:r>
      <w:r w:rsidR="000A4592">
        <w:rPr>
          <w:rFonts w:ascii="Alef" w:eastAsiaTheme="minorHAnsi" w:hAnsi="Alef" w:cs="Alef" w:hint="cs"/>
          <w:b/>
          <w:bCs/>
          <w:u w:val="single"/>
          <w:rtl/>
        </w:rPr>
        <w:t>שנים 2021-2022</w:t>
      </w:r>
    </w:p>
    <w:p w14:paraId="6871A1BA" w14:textId="40367957" w:rsidR="00766713" w:rsidRPr="00903A30" w:rsidRDefault="00766713" w:rsidP="007F7CF6">
      <w:pPr>
        <w:pStyle w:val="2"/>
        <w:numPr>
          <w:ilvl w:val="0"/>
          <w:numId w:val="0"/>
        </w:numPr>
        <w:spacing w:line="480" w:lineRule="auto"/>
        <w:rPr>
          <w:rFonts w:ascii="Alef" w:hAnsi="Alef" w:cs="Alef"/>
          <w:b/>
          <w:bCs/>
          <w:sz w:val="28"/>
          <w:szCs w:val="28"/>
          <w:u w:val="single"/>
        </w:rPr>
      </w:pPr>
      <w:r w:rsidRPr="00903A30">
        <w:rPr>
          <w:rFonts w:ascii="Alef" w:hAnsi="Alef" w:cs="Alef"/>
          <w:rtl/>
        </w:rPr>
        <w:t xml:space="preserve">ביום </w:t>
      </w:r>
      <w:r w:rsidR="000A4592">
        <w:rPr>
          <w:rFonts w:ascii="Alef" w:hAnsi="Alef" w:cs="Alef" w:hint="cs"/>
          <w:rtl/>
        </w:rPr>
        <w:t>22.7.2021</w:t>
      </w:r>
      <w:r w:rsidRPr="00903A30">
        <w:rPr>
          <w:rFonts w:ascii="Alef" w:hAnsi="Alef" w:cs="Alef"/>
          <w:rtl/>
        </w:rPr>
        <w:t xml:space="preserve"> פורסמה להערות הציבור טיוטת הצעות החלטה </w:t>
      </w:r>
      <w:r w:rsidR="00F526C8">
        <w:rPr>
          <w:rFonts w:ascii="Alef" w:hAnsi="Alef" w:cs="Alef" w:hint="cs"/>
          <w:rtl/>
        </w:rPr>
        <w:t xml:space="preserve">לממשלה </w:t>
      </w:r>
      <w:r w:rsidRPr="00903A30">
        <w:rPr>
          <w:rFonts w:ascii="Alef" w:hAnsi="Alef" w:cs="Alef"/>
          <w:rtl/>
        </w:rPr>
        <w:t xml:space="preserve">שעניינן שינויים מבניים </w:t>
      </w:r>
      <w:r w:rsidR="00F526C8">
        <w:rPr>
          <w:rFonts w:ascii="Alef" w:hAnsi="Alef" w:cs="Alef" w:hint="cs"/>
          <w:rtl/>
        </w:rPr>
        <w:t>שיעלו לדיו במסדרת הדיונים על התכנית הכלכלית לשנים 2021 ו-2022</w:t>
      </w:r>
      <w:r w:rsidRPr="00903A30">
        <w:rPr>
          <w:rFonts w:ascii="Alef" w:hAnsi="Alef" w:cs="Alef"/>
          <w:rtl/>
        </w:rPr>
        <w:t xml:space="preserve"> (להלן </w:t>
      </w:r>
      <w:r w:rsidRPr="00903A30">
        <w:rPr>
          <w:rFonts w:ascii="Alef" w:hAnsi="Alef" w:cs="Alef"/>
          <w:b/>
          <w:bCs/>
          <w:rtl/>
        </w:rPr>
        <w:t>טיוטת התכנית הכלכלית</w:t>
      </w:r>
      <w:r w:rsidRPr="00903A30">
        <w:rPr>
          <w:rFonts w:ascii="Alef" w:hAnsi="Alef" w:cs="Alef"/>
          <w:rtl/>
        </w:rPr>
        <w:t xml:space="preserve">). </w:t>
      </w:r>
    </w:p>
    <w:p w14:paraId="6A564EAF" w14:textId="42F4D8D7" w:rsidR="00766713" w:rsidRPr="00903A30" w:rsidRDefault="00766713" w:rsidP="007F7CF6">
      <w:pPr>
        <w:pStyle w:val="2"/>
        <w:numPr>
          <w:ilvl w:val="0"/>
          <w:numId w:val="0"/>
        </w:numPr>
        <w:spacing w:line="480" w:lineRule="auto"/>
        <w:rPr>
          <w:rFonts w:ascii="Alef" w:hAnsi="Alef" w:cs="Alef"/>
          <w:b/>
          <w:bCs/>
          <w:sz w:val="28"/>
          <w:szCs w:val="28"/>
          <w:u w:val="single"/>
        </w:rPr>
      </w:pPr>
      <w:r w:rsidRPr="00903A30">
        <w:rPr>
          <w:rFonts w:ascii="Alef" w:hAnsi="Alef" w:cs="Alef"/>
          <w:rtl/>
        </w:rPr>
        <w:t>טיוטת התכנית הכלכלית מפרטת, בין היתר, את עיקרי הרפורמות שמבקש ממשלת ישראל לקדם במסגרת חוק ההסדרים הקרוב. בתוך כך, רפורמות במספר תחומי משק במדינת ישראל ובהם בתחומי ה</w:t>
      </w:r>
      <w:r w:rsidR="00F526C8">
        <w:rPr>
          <w:rFonts w:ascii="Alef" w:hAnsi="Alef" w:cs="Alef" w:hint="cs"/>
          <w:rtl/>
        </w:rPr>
        <w:t>יבוא, ה</w:t>
      </w:r>
      <w:r w:rsidR="00FF0CE1">
        <w:rPr>
          <w:rFonts w:ascii="Alef" w:hAnsi="Alef" w:cs="Alef"/>
          <w:rtl/>
        </w:rPr>
        <w:t>חקלאות</w:t>
      </w:r>
      <w:r w:rsidR="00FF0CE1">
        <w:rPr>
          <w:rFonts w:ascii="Alef" w:hAnsi="Alef" w:cs="Alef" w:hint="cs"/>
          <w:rtl/>
        </w:rPr>
        <w:t xml:space="preserve"> </w:t>
      </w:r>
      <w:r w:rsidRPr="00903A30">
        <w:rPr>
          <w:rFonts w:ascii="Alef" w:hAnsi="Alef" w:cs="Alef"/>
          <w:rtl/>
        </w:rPr>
        <w:t>והפיננסים.</w:t>
      </w:r>
    </w:p>
    <w:p w14:paraId="3025CEE4" w14:textId="02D3C2E8" w:rsidR="00766713" w:rsidRPr="00FB731A" w:rsidRDefault="00766713" w:rsidP="00A43D00">
      <w:pPr>
        <w:pStyle w:val="2"/>
        <w:numPr>
          <w:ilvl w:val="0"/>
          <w:numId w:val="0"/>
        </w:numPr>
        <w:spacing w:line="480" w:lineRule="auto"/>
        <w:rPr>
          <w:rFonts w:ascii="Alef" w:hAnsi="Alef" w:cs="Alef"/>
        </w:rPr>
      </w:pPr>
      <w:r w:rsidRPr="00903A30">
        <w:rPr>
          <w:rFonts w:ascii="Alef" w:hAnsi="Alef" w:cs="Alef"/>
          <w:rtl/>
        </w:rPr>
        <w:t xml:space="preserve">להלן </w:t>
      </w:r>
      <w:r w:rsidR="00084958">
        <w:rPr>
          <w:rFonts w:ascii="Alef" w:hAnsi="Alef" w:cs="Alef" w:hint="cs"/>
          <w:rtl/>
        </w:rPr>
        <w:t xml:space="preserve">תובא </w:t>
      </w:r>
      <w:r w:rsidRPr="00903A30">
        <w:rPr>
          <w:rFonts w:ascii="Alef" w:hAnsi="Alef" w:cs="Alef"/>
          <w:rtl/>
        </w:rPr>
        <w:t xml:space="preserve">התייחסות והערות רשות התחרות (להלן </w:t>
      </w:r>
      <w:r w:rsidRPr="00423776">
        <w:rPr>
          <w:rFonts w:ascii="Alef" w:hAnsi="Alef" w:cs="Alef"/>
          <w:b/>
          <w:bCs/>
          <w:rtl/>
        </w:rPr>
        <w:t>הרשות</w:t>
      </w:r>
      <w:r w:rsidRPr="00903A30">
        <w:rPr>
          <w:rFonts w:ascii="Alef" w:hAnsi="Alef" w:cs="Alef"/>
          <w:rtl/>
        </w:rPr>
        <w:t>) ביחס לרפורמות האמורות</w:t>
      </w:r>
      <w:r w:rsidR="00084958" w:rsidRPr="00FB731A">
        <w:rPr>
          <w:rFonts w:ascii="Alef" w:hAnsi="Alef" w:cs="Alef"/>
          <w:rtl/>
        </w:rPr>
        <w:t xml:space="preserve">, </w:t>
      </w:r>
      <w:r w:rsidR="00084958" w:rsidRPr="00FB731A">
        <w:rPr>
          <w:rFonts w:ascii="Alef" w:hAnsi="Alef" w:cs="Alef" w:hint="eastAsia"/>
          <w:rtl/>
        </w:rPr>
        <w:t>וזאת</w:t>
      </w:r>
      <w:r w:rsidR="00084958" w:rsidRPr="00FB731A">
        <w:rPr>
          <w:rFonts w:ascii="Alef" w:hAnsi="Alef" w:cs="Alef"/>
          <w:rtl/>
        </w:rPr>
        <w:t xml:space="preserve"> </w:t>
      </w:r>
      <w:r w:rsidR="00084958" w:rsidRPr="00FB731A">
        <w:rPr>
          <w:rFonts w:ascii="Alef" w:hAnsi="Alef" w:cs="Alef" w:hint="eastAsia"/>
          <w:rtl/>
        </w:rPr>
        <w:t>בהמשך</w:t>
      </w:r>
      <w:r w:rsidR="00084958" w:rsidRPr="00FB731A">
        <w:rPr>
          <w:rFonts w:ascii="Alef" w:hAnsi="Alef" w:cs="Alef"/>
          <w:rtl/>
        </w:rPr>
        <w:t xml:space="preserve"> להערות שהוצגו על ידי הרשות </w:t>
      </w:r>
      <w:r w:rsidR="00084958">
        <w:rPr>
          <w:rFonts w:ascii="Alef" w:hAnsi="Alef" w:cs="Alef" w:hint="cs"/>
          <w:rtl/>
        </w:rPr>
        <w:t xml:space="preserve">בימים האחרונים </w:t>
      </w:r>
      <w:r w:rsidR="00084958" w:rsidRPr="00FB731A">
        <w:rPr>
          <w:rFonts w:ascii="Alef" w:hAnsi="Alef" w:cs="Alef" w:hint="eastAsia"/>
          <w:rtl/>
        </w:rPr>
        <w:t>בפני</w:t>
      </w:r>
      <w:r w:rsidR="00084958" w:rsidRPr="00FB731A">
        <w:rPr>
          <w:rFonts w:ascii="Alef" w:hAnsi="Alef" w:cs="Alef"/>
          <w:rtl/>
        </w:rPr>
        <w:t xml:space="preserve"> </w:t>
      </w:r>
      <w:r w:rsidR="00084958" w:rsidRPr="00FB731A">
        <w:rPr>
          <w:rFonts w:ascii="Alef" w:hAnsi="Alef" w:cs="Alef" w:hint="eastAsia"/>
          <w:rtl/>
        </w:rPr>
        <w:t>גורמי</w:t>
      </w:r>
      <w:r w:rsidR="00084958" w:rsidRPr="00FB731A">
        <w:rPr>
          <w:rFonts w:ascii="Alef" w:hAnsi="Alef" w:cs="Alef"/>
          <w:rtl/>
        </w:rPr>
        <w:t xml:space="preserve"> </w:t>
      </w:r>
      <w:r w:rsidR="00084958" w:rsidRPr="00FB731A">
        <w:rPr>
          <w:rFonts w:ascii="Alef" w:hAnsi="Alef" w:cs="Alef" w:hint="eastAsia"/>
          <w:rtl/>
        </w:rPr>
        <w:t>הממשלה</w:t>
      </w:r>
      <w:r w:rsidR="00084958" w:rsidRPr="00FB731A">
        <w:rPr>
          <w:rFonts w:ascii="Alef" w:hAnsi="Alef" w:cs="Alef"/>
          <w:rtl/>
        </w:rPr>
        <w:t xml:space="preserve"> </w:t>
      </w:r>
      <w:r w:rsidR="00084958" w:rsidRPr="00FB731A">
        <w:rPr>
          <w:rFonts w:ascii="Alef" w:hAnsi="Alef" w:cs="Alef" w:hint="eastAsia"/>
          <w:rtl/>
        </w:rPr>
        <w:t>הרלוונטיים</w:t>
      </w:r>
      <w:r w:rsidR="00084958">
        <w:rPr>
          <w:rFonts w:ascii="Alef" w:hAnsi="Alef" w:cs="Alef" w:hint="cs"/>
          <w:rtl/>
        </w:rPr>
        <w:t>.</w:t>
      </w:r>
    </w:p>
    <w:p w14:paraId="357ED559" w14:textId="381FF0CB" w:rsidR="00766713" w:rsidRPr="00903A30" w:rsidRDefault="00084958" w:rsidP="00766713">
      <w:pPr>
        <w:pStyle w:val="2"/>
        <w:numPr>
          <w:ilvl w:val="0"/>
          <w:numId w:val="6"/>
        </w:numPr>
        <w:spacing w:line="480" w:lineRule="auto"/>
        <w:rPr>
          <w:rFonts w:ascii="Alef" w:hAnsi="Alef" w:cs="Alef"/>
          <w:b/>
          <w:bCs/>
          <w:sz w:val="28"/>
          <w:szCs w:val="28"/>
          <w:u w:val="single"/>
        </w:rPr>
      </w:pPr>
      <w:r>
        <w:rPr>
          <w:rFonts w:ascii="Alef" w:hAnsi="Alef" w:cs="Alef" w:hint="cs"/>
          <w:b/>
          <w:bCs/>
          <w:sz w:val="28"/>
          <w:szCs w:val="28"/>
          <w:u w:val="single"/>
          <w:rtl/>
        </w:rPr>
        <w:t>תכנית להגברת התחרות בחקלאות</w:t>
      </w:r>
    </w:p>
    <w:p w14:paraId="5DCB8CF9" w14:textId="770177A8" w:rsidR="00C852E0" w:rsidRDefault="00766713" w:rsidP="00791548">
      <w:pPr>
        <w:pStyle w:val="2"/>
        <w:numPr>
          <w:ilvl w:val="0"/>
          <w:numId w:val="0"/>
        </w:numPr>
        <w:spacing w:line="480" w:lineRule="auto"/>
        <w:rPr>
          <w:rFonts w:ascii="Alef" w:hAnsi="Alef" w:cs="Alef"/>
          <w:rtl/>
        </w:rPr>
      </w:pPr>
      <w:r w:rsidRPr="00C2388F">
        <w:rPr>
          <w:rFonts w:ascii="Alef" w:hAnsi="Alef" w:cs="Alef" w:hint="cs"/>
          <w:rtl/>
        </w:rPr>
        <w:t>טיוטת</w:t>
      </w:r>
      <w:r w:rsidRPr="00C2388F">
        <w:rPr>
          <w:rFonts w:ascii="Alef" w:hAnsi="Alef" w:cs="Alef"/>
          <w:rtl/>
        </w:rPr>
        <w:t xml:space="preserve"> </w:t>
      </w:r>
      <w:r w:rsidRPr="00C2388F">
        <w:rPr>
          <w:rFonts w:ascii="Alef" w:hAnsi="Alef" w:cs="Alef" w:hint="cs"/>
          <w:rtl/>
        </w:rPr>
        <w:t>התכנית</w:t>
      </w:r>
      <w:r w:rsidRPr="00C2388F">
        <w:rPr>
          <w:rFonts w:ascii="Alef" w:hAnsi="Alef" w:cs="Alef"/>
          <w:rtl/>
        </w:rPr>
        <w:t xml:space="preserve"> </w:t>
      </w:r>
      <w:r w:rsidRPr="00C2388F">
        <w:rPr>
          <w:rFonts w:ascii="Alef" w:hAnsi="Alef" w:cs="Alef" w:hint="cs"/>
          <w:rtl/>
        </w:rPr>
        <w:t>הכלכלית</w:t>
      </w:r>
      <w:r w:rsidRPr="00C2388F">
        <w:rPr>
          <w:rFonts w:ascii="Alef" w:hAnsi="Alef" w:cs="Alef"/>
          <w:rtl/>
        </w:rPr>
        <w:t xml:space="preserve"> </w:t>
      </w:r>
      <w:r w:rsidRPr="00C2388F">
        <w:rPr>
          <w:rFonts w:ascii="Alef" w:hAnsi="Alef" w:cs="Alef" w:hint="cs"/>
          <w:rtl/>
        </w:rPr>
        <w:t>בתחום</w:t>
      </w:r>
      <w:r w:rsidRPr="00C2388F">
        <w:rPr>
          <w:rFonts w:ascii="Alef" w:hAnsi="Alef" w:cs="Alef"/>
          <w:rtl/>
        </w:rPr>
        <w:t xml:space="preserve"> </w:t>
      </w:r>
      <w:r w:rsidRPr="00C2388F">
        <w:rPr>
          <w:rFonts w:ascii="Alef" w:hAnsi="Alef" w:cs="Alef" w:hint="cs"/>
          <w:rtl/>
        </w:rPr>
        <w:t>החקלאות</w:t>
      </w:r>
      <w:r w:rsidRPr="00C2388F">
        <w:rPr>
          <w:rFonts w:ascii="Alef" w:hAnsi="Alef" w:cs="Alef"/>
          <w:rtl/>
        </w:rPr>
        <w:t xml:space="preserve"> </w:t>
      </w:r>
      <w:r w:rsidRPr="00C2388F">
        <w:rPr>
          <w:rFonts w:ascii="Alef" w:hAnsi="Alef" w:cs="Alef" w:hint="cs"/>
          <w:rtl/>
        </w:rPr>
        <w:t>מבקשת</w:t>
      </w:r>
      <w:r w:rsidRPr="00C2388F">
        <w:rPr>
          <w:rFonts w:ascii="Alef" w:hAnsi="Alef" w:cs="Alef"/>
          <w:rtl/>
        </w:rPr>
        <w:t xml:space="preserve"> </w:t>
      </w:r>
      <w:r w:rsidRPr="00C2388F">
        <w:rPr>
          <w:rFonts w:ascii="Alef" w:hAnsi="Alef" w:cs="Alef" w:hint="cs"/>
          <w:rtl/>
        </w:rPr>
        <w:t>לגבש</w:t>
      </w:r>
      <w:r w:rsidRPr="00C2388F">
        <w:rPr>
          <w:rFonts w:ascii="Alef" w:hAnsi="Alef" w:cs="Alef"/>
          <w:rtl/>
        </w:rPr>
        <w:t xml:space="preserve"> </w:t>
      </w:r>
      <w:r w:rsidRPr="00C2388F">
        <w:rPr>
          <w:rFonts w:ascii="Alef" w:hAnsi="Alef" w:cs="Alef" w:hint="cs"/>
          <w:rtl/>
        </w:rPr>
        <w:t>מתווה</w:t>
      </w:r>
      <w:r w:rsidRPr="00C2388F">
        <w:rPr>
          <w:rFonts w:ascii="Alef" w:hAnsi="Alef" w:cs="Alef"/>
          <w:rtl/>
        </w:rPr>
        <w:t xml:space="preserve"> </w:t>
      </w:r>
      <w:r w:rsidRPr="00C2388F">
        <w:rPr>
          <w:rFonts w:ascii="Alef" w:hAnsi="Alef" w:cs="Alef" w:hint="cs"/>
          <w:rtl/>
        </w:rPr>
        <w:t>במסגרתו</w:t>
      </w:r>
      <w:r w:rsidRPr="00C2388F">
        <w:rPr>
          <w:rFonts w:ascii="Alef" w:hAnsi="Alef" w:cs="Alef"/>
          <w:rtl/>
        </w:rPr>
        <w:t xml:space="preserve"> </w:t>
      </w:r>
      <w:r w:rsidRPr="00C2388F">
        <w:rPr>
          <w:rFonts w:ascii="Alef" w:hAnsi="Alef" w:cs="Alef" w:hint="cs"/>
          <w:rtl/>
        </w:rPr>
        <w:t>יופחתו</w:t>
      </w:r>
      <w:r w:rsidRPr="00C2388F">
        <w:rPr>
          <w:rFonts w:ascii="Alef" w:hAnsi="Alef" w:cs="Alef"/>
          <w:rtl/>
        </w:rPr>
        <w:t xml:space="preserve"> </w:t>
      </w:r>
      <w:r w:rsidRPr="00C2388F">
        <w:rPr>
          <w:rFonts w:ascii="Alef" w:hAnsi="Alef" w:cs="Alef" w:hint="cs"/>
          <w:rtl/>
        </w:rPr>
        <w:t>מכסים</w:t>
      </w:r>
      <w:r w:rsidRPr="00C2388F">
        <w:rPr>
          <w:rFonts w:ascii="Alef" w:hAnsi="Alef" w:cs="Alef"/>
          <w:rtl/>
        </w:rPr>
        <w:t xml:space="preserve"> </w:t>
      </w:r>
      <w:r w:rsidRPr="00C2388F">
        <w:rPr>
          <w:rFonts w:ascii="Alef" w:hAnsi="Alef" w:cs="Alef" w:hint="cs"/>
          <w:rtl/>
        </w:rPr>
        <w:t>על</w:t>
      </w:r>
      <w:r w:rsidRPr="00C2388F">
        <w:rPr>
          <w:rFonts w:ascii="Alef" w:hAnsi="Alef" w:cs="Alef"/>
          <w:rtl/>
        </w:rPr>
        <w:t xml:space="preserve"> </w:t>
      </w:r>
      <w:r w:rsidRPr="00C2388F">
        <w:rPr>
          <w:rFonts w:ascii="Alef" w:hAnsi="Alef" w:cs="Alef" w:hint="cs"/>
          <w:rtl/>
        </w:rPr>
        <w:t>ייבוא</w:t>
      </w:r>
      <w:r w:rsidRPr="00C2388F">
        <w:rPr>
          <w:rFonts w:ascii="Alef" w:hAnsi="Alef" w:cs="Alef"/>
          <w:rtl/>
        </w:rPr>
        <w:t xml:space="preserve"> </w:t>
      </w:r>
      <w:r w:rsidRPr="00C2388F">
        <w:rPr>
          <w:rFonts w:ascii="Alef" w:hAnsi="Alef" w:cs="Alef" w:hint="cs"/>
          <w:rtl/>
        </w:rPr>
        <w:t>מוצרים</w:t>
      </w:r>
      <w:r w:rsidR="000D3A3A">
        <w:rPr>
          <w:rFonts w:ascii="Alef" w:hAnsi="Alef" w:cs="Alef" w:hint="cs"/>
          <w:rtl/>
        </w:rPr>
        <w:t xml:space="preserve"> של</w:t>
      </w:r>
      <w:r w:rsidRPr="00C2388F">
        <w:rPr>
          <w:rFonts w:ascii="Alef" w:hAnsi="Alef" w:cs="Alef"/>
          <w:rtl/>
        </w:rPr>
        <w:t xml:space="preserve"> </w:t>
      </w:r>
      <w:r w:rsidR="00426DE4">
        <w:rPr>
          <w:rFonts w:ascii="Alef" w:hAnsi="Alef" w:cs="Alef" w:hint="cs"/>
          <w:rtl/>
        </w:rPr>
        <w:t>תוצרת חקלאית</w:t>
      </w:r>
      <w:r w:rsidR="00426DE4">
        <w:rPr>
          <w:rFonts w:ascii="Alef" w:hAnsi="Alef" w:cs="Alef"/>
          <w:rtl/>
        </w:rPr>
        <w:t xml:space="preserve"> </w:t>
      </w:r>
      <w:r w:rsidR="00426DE4">
        <w:rPr>
          <w:rFonts w:ascii="Alef" w:hAnsi="Alef" w:cs="Alef" w:hint="cs"/>
          <w:rtl/>
        </w:rPr>
        <w:t>(ירקות, פירות וביצים).</w:t>
      </w:r>
      <w:r w:rsidRPr="00C2388F">
        <w:rPr>
          <w:rFonts w:ascii="Alef" w:hAnsi="Alef" w:cs="Alef"/>
          <w:rtl/>
        </w:rPr>
        <w:t xml:space="preserve"> </w:t>
      </w:r>
    </w:p>
    <w:p w14:paraId="64EC1DE6" w14:textId="0C0F6F7E" w:rsidR="00C2388F" w:rsidRDefault="001D7024" w:rsidP="00791548">
      <w:pPr>
        <w:pStyle w:val="2"/>
        <w:numPr>
          <w:ilvl w:val="0"/>
          <w:numId w:val="0"/>
        </w:numPr>
        <w:spacing w:line="480" w:lineRule="auto"/>
        <w:rPr>
          <w:rFonts w:ascii="Alef" w:hAnsi="Alef" w:cs="Alef"/>
          <w:rtl/>
        </w:rPr>
      </w:pPr>
      <w:r>
        <w:rPr>
          <w:rFonts w:ascii="Alef" w:hAnsi="Alef" w:cs="Alef" w:hint="cs"/>
          <w:rtl/>
        </w:rPr>
        <w:t>בנוסף</w:t>
      </w:r>
      <w:r w:rsidR="00C2388F" w:rsidRPr="00C2388F">
        <w:rPr>
          <w:rFonts w:ascii="Alef" w:hAnsi="Alef" w:cs="Alef" w:hint="cs"/>
          <w:rtl/>
        </w:rPr>
        <w:t xml:space="preserve"> להסרת המכסים מוצע להסיר את החסם העיקרי העומד </w:t>
      </w:r>
      <w:r w:rsidR="00BB6AD0">
        <w:rPr>
          <w:rFonts w:ascii="Alef" w:hAnsi="Alef" w:cs="Alef" w:hint="cs"/>
          <w:rtl/>
        </w:rPr>
        <w:t xml:space="preserve">בפני </w:t>
      </w:r>
      <w:r w:rsidR="00C2388F" w:rsidRPr="00C2388F">
        <w:rPr>
          <w:rFonts w:ascii="Alef" w:hAnsi="Alef" w:cs="Alef" w:hint="cs"/>
          <w:rtl/>
        </w:rPr>
        <w:t>יבוא פירות וירקות בישראל כיום: קבלת</w:t>
      </w:r>
      <w:r w:rsidR="00C2388F" w:rsidRPr="00C2388F">
        <w:rPr>
          <w:rFonts w:ascii="Alef" w:hAnsi="Alef" w:cs="Alef"/>
          <w:rtl/>
        </w:rPr>
        <w:t xml:space="preserve"> </w:t>
      </w:r>
      <w:r w:rsidR="00C2388F" w:rsidRPr="00C2388F">
        <w:rPr>
          <w:rFonts w:ascii="Alef" w:hAnsi="Alef" w:cs="Alef" w:hint="cs"/>
          <w:rtl/>
        </w:rPr>
        <w:t>רישיון</w:t>
      </w:r>
      <w:r w:rsidR="00C2388F" w:rsidRPr="00C2388F">
        <w:rPr>
          <w:rFonts w:ascii="Alef" w:hAnsi="Alef" w:cs="Alef"/>
          <w:rtl/>
        </w:rPr>
        <w:t xml:space="preserve"> </w:t>
      </w:r>
      <w:r w:rsidR="00C2388F" w:rsidRPr="00C2388F">
        <w:rPr>
          <w:rFonts w:ascii="Alef" w:hAnsi="Alef" w:cs="Alef" w:hint="cs"/>
          <w:rtl/>
        </w:rPr>
        <w:t>ייבוא</w:t>
      </w:r>
      <w:r w:rsidR="00C2388F" w:rsidRPr="00C2388F">
        <w:rPr>
          <w:rFonts w:ascii="Alef" w:hAnsi="Alef" w:cs="Alef"/>
          <w:rtl/>
        </w:rPr>
        <w:t xml:space="preserve"> </w:t>
      </w:r>
      <w:r w:rsidR="00C2388F" w:rsidRPr="00C2388F">
        <w:rPr>
          <w:rFonts w:ascii="Alef" w:hAnsi="Alef" w:cs="Alef" w:hint="cs"/>
          <w:rtl/>
        </w:rPr>
        <w:t>דרך</w:t>
      </w:r>
      <w:r w:rsidR="00C2388F" w:rsidRPr="00C2388F">
        <w:rPr>
          <w:rFonts w:ascii="Alef" w:hAnsi="Alef" w:cs="Alef"/>
          <w:rtl/>
        </w:rPr>
        <w:t xml:space="preserve"> </w:t>
      </w:r>
      <w:r w:rsidR="00C2388F" w:rsidRPr="00C2388F">
        <w:rPr>
          <w:rFonts w:ascii="Alef" w:hAnsi="Alef" w:cs="Alef" w:hint="cs"/>
          <w:rtl/>
        </w:rPr>
        <w:t xml:space="preserve">השירותים </w:t>
      </w:r>
      <w:r w:rsidR="00C2388F" w:rsidRPr="00C2388F">
        <w:rPr>
          <w:rFonts w:ascii="Alef" w:hAnsi="Alef" w:cs="Alef"/>
          <w:rtl/>
        </w:rPr>
        <w:t>להגנת הצומח במשרד החקלאות</w:t>
      </w:r>
      <w:r w:rsidR="00C2388F">
        <w:rPr>
          <w:rFonts w:ascii="Alef" w:hAnsi="Alef" w:cs="Alef" w:hint="cs"/>
          <w:rtl/>
        </w:rPr>
        <w:t xml:space="preserve">. </w:t>
      </w:r>
      <w:r w:rsidR="00C852E0">
        <w:rPr>
          <w:rFonts w:ascii="Alef" w:hAnsi="Alef" w:cs="Alef" w:hint="cs"/>
          <w:rtl/>
        </w:rPr>
        <w:t>לשם כך</w:t>
      </w:r>
      <w:r w:rsidR="00C2388F">
        <w:rPr>
          <w:rFonts w:ascii="Alef" w:hAnsi="Alef" w:cs="Alef" w:hint="cs"/>
          <w:rtl/>
        </w:rPr>
        <w:t xml:space="preserve"> מוצע,</w:t>
      </w:r>
      <w:r w:rsidR="00C2388F" w:rsidRPr="00C2388F">
        <w:rPr>
          <w:rFonts w:ascii="Alef" w:hAnsi="Alef" w:cs="Alef" w:hint="cs"/>
          <w:rtl/>
        </w:rPr>
        <w:t xml:space="preserve"> </w:t>
      </w:r>
      <w:r w:rsidR="00C2388F" w:rsidRPr="000A4592">
        <w:rPr>
          <w:rFonts w:ascii="Alef" w:hAnsi="Alef" w:cs="Alef" w:hint="cs"/>
          <w:rtl/>
        </w:rPr>
        <w:t>בדומה לרפורמה בנושא יבוא מוצרים לישראל, להפוך</w:t>
      </w:r>
      <w:r w:rsidR="00C2388F">
        <w:rPr>
          <w:rFonts w:ascii="Alef" w:hAnsi="Alef" w:cs="Alef" w:hint="cs"/>
          <w:rtl/>
        </w:rPr>
        <w:t xml:space="preserve"> את </w:t>
      </w:r>
      <w:r>
        <w:rPr>
          <w:rFonts w:ascii="Alef" w:hAnsi="Alef" w:cs="Alef" w:hint="cs"/>
          <w:rtl/>
        </w:rPr>
        <w:t>ברירת המחדל כך</w:t>
      </w:r>
      <w:r w:rsidR="00C852E0">
        <w:rPr>
          <w:rFonts w:ascii="Alef" w:hAnsi="Alef" w:cs="Alef" w:hint="cs"/>
          <w:rtl/>
        </w:rPr>
        <w:t xml:space="preserve">, שבניגוד להיום, </w:t>
      </w:r>
      <w:r>
        <w:rPr>
          <w:rFonts w:ascii="Alef" w:hAnsi="Alef" w:cs="Alef" w:hint="cs"/>
          <w:rtl/>
        </w:rPr>
        <w:t>ניתן יהיה לייבא ירקות ופירות לישראל בכפוף לצירוף תעודת בריאות, כהגדרתה בהצעה.</w:t>
      </w:r>
    </w:p>
    <w:p w14:paraId="5143DA8B" w14:textId="77777777" w:rsidR="00C2388F" w:rsidRDefault="001D7024" w:rsidP="00791548">
      <w:pPr>
        <w:pStyle w:val="2"/>
        <w:numPr>
          <w:ilvl w:val="0"/>
          <w:numId w:val="0"/>
        </w:numPr>
        <w:spacing w:line="480" w:lineRule="auto"/>
        <w:rPr>
          <w:rFonts w:ascii="Alef" w:hAnsi="Alef" w:cs="Alef"/>
          <w:rtl/>
        </w:rPr>
      </w:pPr>
      <w:r>
        <w:rPr>
          <w:rFonts w:ascii="Alef" w:hAnsi="Alef" w:cs="Alef" w:hint="cs"/>
          <w:rtl/>
        </w:rPr>
        <w:lastRenderedPageBreak/>
        <w:t xml:space="preserve">במקביל מוצע כי תינתן </w:t>
      </w:r>
      <w:r w:rsidR="00C2388F" w:rsidRPr="00903A30">
        <w:rPr>
          <w:rFonts w:ascii="Alef" w:hAnsi="Alef" w:cs="Alef"/>
          <w:rtl/>
        </w:rPr>
        <w:t xml:space="preserve">תמיכה (סובסידיה) ישירה </w:t>
      </w:r>
      <w:r>
        <w:rPr>
          <w:rFonts w:ascii="Alef" w:hAnsi="Alef" w:cs="Alef" w:hint="cs"/>
          <w:rtl/>
        </w:rPr>
        <w:t>ל</w:t>
      </w:r>
      <w:r w:rsidR="00C2388F" w:rsidRPr="00903A30">
        <w:rPr>
          <w:rFonts w:ascii="Alef" w:hAnsi="Alef" w:cs="Alef"/>
          <w:rtl/>
        </w:rPr>
        <w:t>חקלאי ישראל חלף תמיכה עקיפה בחקלאים – דוגמת מכסי מגן, חסמים רגולטוריים שונים ותכנון כמויות בשוק.</w:t>
      </w:r>
      <w:r w:rsidR="00C852E0">
        <w:rPr>
          <w:rFonts w:ascii="Alef" w:hAnsi="Alef" w:cs="Alef" w:hint="cs"/>
          <w:rtl/>
        </w:rPr>
        <w:t xml:space="preserve"> </w:t>
      </w:r>
    </w:p>
    <w:p w14:paraId="3323E61B" w14:textId="77777777" w:rsidR="00C852E0" w:rsidRDefault="00C852E0" w:rsidP="001D7024">
      <w:pPr>
        <w:pStyle w:val="2"/>
        <w:numPr>
          <w:ilvl w:val="0"/>
          <w:numId w:val="0"/>
        </w:numPr>
        <w:rPr>
          <w:rFonts w:ascii="Alef" w:hAnsi="Alef" w:cs="Alef"/>
          <w:rtl/>
        </w:rPr>
      </w:pPr>
      <w:r>
        <w:rPr>
          <w:rFonts w:ascii="Alef" w:hAnsi="Alef" w:cs="Alef" w:hint="cs"/>
          <w:rtl/>
        </w:rPr>
        <w:t xml:space="preserve">בהמשך לכוונה לבטל את המכס על יבוא ביצים למאכל בישראל (רביה קלה) מוצע לבטל את התכנון בענף. </w:t>
      </w:r>
    </w:p>
    <w:p w14:paraId="32F707FB" w14:textId="1013639A" w:rsidR="00EE011F" w:rsidRDefault="00EE011F" w:rsidP="00791548">
      <w:pPr>
        <w:pStyle w:val="2"/>
        <w:numPr>
          <w:ilvl w:val="0"/>
          <w:numId w:val="0"/>
        </w:numPr>
        <w:spacing w:line="480" w:lineRule="auto"/>
        <w:rPr>
          <w:rFonts w:ascii="Alef" w:hAnsi="Alef" w:cs="Alef"/>
          <w:rtl/>
        </w:rPr>
      </w:pPr>
      <w:r w:rsidRPr="00AD5979">
        <w:rPr>
          <w:rFonts w:ascii="Alef" w:hAnsi="Alef" w:cs="Alef" w:hint="cs"/>
          <w:rtl/>
        </w:rPr>
        <w:t>בתחילתו של העשור הקודם ועד ל</w:t>
      </w:r>
      <w:r w:rsidRPr="00AD5979">
        <w:rPr>
          <w:rFonts w:ascii="Alef" w:hAnsi="Alef" w:cs="Alef"/>
          <w:rtl/>
        </w:rPr>
        <w:t xml:space="preserve">שנים האחרונות, נרשמו עליות מחירים מתונות, בשיעורים דומים, במחירי הפירות </w:t>
      </w:r>
      <w:r w:rsidRPr="00AD5979">
        <w:rPr>
          <w:rFonts w:ascii="Alef" w:hAnsi="Alef" w:cs="Alef" w:hint="eastAsia"/>
          <w:rtl/>
        </w:rPr>
        <w:t>והירקות</w:t>
      </w:r>
      <w:r w:rsidRPr="00AD5979">
        <w:rPr>
          <w:rFonts w:ascii="Alef" w:hAnsi="Alef" w:cs="Alef"/>
          <w:rtl/>
        </w:rPr>
        <w:t xml:space="preserve"> ובמדד המחירים לצרכן. </w:t>
      </w:r>
      <w:r w:rsidRPr="00AD5979">
        <w:rPr>
          <w:rFonts w:ascii="Alef" w:hAnsi="Alef" w:cs="Alef" w:hint="eastAsia"/>
          <w:rtl/>
        </w:rPr>
        <w:t>אולם</w:t>
      </w:r>
      <w:r w:rsidRPr="00AD5979">
        <w:rPr>
          <w:rFonts w:ascii="Alef" w:hAnsi="Alef" w:cs="Alef"/>
          <w:rtl/>
        </w:rPr>
        <w:t xml:space="preserve">, </w:t>
      </w:r>
      <w:r w:rsidRPr="00AD5979">
        <w:rPr>
          <w:rFonts w:ascii="Alef" w:hAnsi="Alef" w:cs="Alef" w:hint="eastAsia"/>
          <w:rtl/>
        </w:rPr>
        <w:t>החל</w:t>
      </w:r>
      <w:r w:rsidRPr="00AD5979">
        <w:rPr>
          <w:rFonts w:ascii="Alef" w:hAnsi="Alef" w:cs="Alef"/>
          <w:rtl/>
        </w:rPr>
        <w:t xml:space="preserve"> </w:t>
      </w:r>
      <w:r w:rsidRPr="00AD5979">
        <w:rPr>
          <w:rFonts w:ascii="Alef" w:hAnsi="Alef" w:cs="Alef" w:hint="eastAsia"/>
          <w:rtl/>
        </w:rPr>
        <w:t>מתחילת</w:t>
      </w:r>
      <w:r w:rsidRPr="00AD5979">
        <w:rPr>
          <w:rFonts w:ascii="Alef" w:hAnsi="Alef" w:cs="Alef"/>
          <w:rtl/>
        </w:rPr>
        <w:t xml:space="preserve"> </w:t>
      </w:r>
      <w:r w:rsidRPr="00AD5979">
        <w:rPr>
          <w:rFonts w:ascii="Alef" w:hAnsi="Alef" w:cs="Alef" w:hint="eastAsia"/>
          <w:rtl/>
        </w:rPr>
        <w:t>שנת</w:t>
      </w:r>
      <w:r w:rsidRPr="00AD5979">
        <w:rPr>
          <w:rFonts w:ascii="Alef" w:hAnsi="Alef" w:cs="Alef"/>
          <w:rtl/>
        </w:rPr>
        <w:t xml:space="preserve"> 2018 </w:t>
      </w:r>
      <w:r w:rsidRPr="00AD5979">
        <w:rPr>
          <w:rFonts w:ascii="Alef" w:hAnsi="Alef" w:cs="Alef" w:hint="eastAsia"/>
          <w:rtl/>
        </w:rPr>
        <w:t>ניכר</w:t>
      </w:r>
      <w:r w:rsidRPr="00AD5979">
        <w:rPr>
          <w:rFonts w:ascii="Alef" w:hAnsi="Alef" w:cs="Alef"/>
          <w:rtl/>
        </w:rPr>
        <w:t xml:space="preserve"> </w:t>
      </w:r>
      <w:r w:rsidRPr="00AD5979">
        <w:rPr>
          <w:rFonts w:ascii="Alef" w:hAnsi="Alef" w:cs="Alef" w:hint="eastAsia"/>
          <w:rtl/>
        </w:rPr>
        <w:t>כי</w:t>
      </w:r>
      <w:r w:rsidRPr="00AD5979">
        <w:rPr>
          <w:rFonts w:ascii="Alef" w:hAnsi="Alef" w:cs="Alef"/>
          <w:rtl/>
        </w:rPr>
        <w:t xml:space="preserve"> </w:t>
      </w:r>
      <w:r w:rsidRPr="00AD5979">
        <w:rPr>
          <w:rFonts w:ascii="Alef" w:hAnsi="Alef" w:cs="Alef" w:hint="eastAsia"/>
          <w:rtl/>
        </w:rPr>
        <w:t>נפתח</w:t>
      </w:r>
      <w:r w:rsidRPr="00AD5979">
        <w:rPr>
          <w:rFonts w:ascii="Alef" w:hAnsi="Alef" w:cs="Alef"/>
          <w:rtl/>
        </w:rPr>
        <w:t xml:space="preserve"> </w:t>
      </w:r>
      <w:r w:rsidRPr="00AD5979">
        <w:rPr>
          <w:rFonts w:ascii="Alef" w:hAnsi="Alef" w:cs="Alef" w:hint="eastAsia"/>
          <w:rtl/>
        </w:rPr>
        <w:t>פער</w:t>
      </w:r>
      <w:r w:rsidRPr="00AD5979">
        <w:rPr>
          <w:rFonts w:ascii="Alef" w:hAnsi="Alef" w:cs="Alef"/>
          <w:rtl/>
        </w:rPr>
        <w:t xml:space="preserve"> </w:t>
      </w:r>
      <w:r w:rsidRPr="00AD5979">
        <w:rPr>
          <w:rFonts w:ascii="Alef" w:hAnsi="Alef" w:cs="Alef" w:hint="eastAsia"/>
          <w:rtl/>
        </w:rPr>
        <w:t>בין</w:t>
      </w:r>
      <w:r w:rsidRPr="00AD5979">
        <w:rPr>
          <w:rFonts w:ascii="Alef" w:hAnsi="Alef" w:cs="Alef"/>
          <w:rtl/>
        </w:rPr>
        <w:t xml:space="preserve"> </w:t>
      </w:r>
      <w:r w:rsidRPr="00AD5979">
        <w:rPr>
          <w:rFonts w:ascii="Alef" w:hAnsi="Alef" w:cs="Alef" w:hint="eastAsia"/>
          <w:rtl/>
        </w:rPr>
        <w:t>קצב</w:t>
      </w:r>
      <w:r w:rsidRPr="00AD5979">
        <w:rPr>
          <w:rFonts w:ascii="Alef" w:hAnsi="Alef" w:cs="Alef"/>
          <w:rtl/>
        </w:rPr>
        <w:t xml:space="preserve"> </w:t>
      </w:r>
      <w:r w:rsidRPr="00AD5979">
        <w:rPr>
          <w:rFonts w:ascii="Alef" w:hAnsi="Alef" w:cs="Alef" w:hint="eastAsia"/>
          <w:rtl/>
        </w:rPr>
        <w:t>עליית</w:t>
      </w:r>
      <w:r w:rsidRPr="00AD5979">
        <w:rPr>
          <w:rFonts w:ascii="Alef" w:hAnsi="Alef" w:cs="Alef"/>
          <w:rtl/>
        </w:rPr>
        <w:t xml:space="preserve"> </w:t>
      </w:r>
      <w:r w:rsidRPr="00AD5979">
        <w:rPr>
          <w:rFonts w:ascii="Alef" w:hAnsi="Alef" w:cs="Alef" w:hint="eastAsia"/>
          <w:rtl/>
        </w:rPr>
        <w:t>מחירי</w:t>
      </w:r>
      <w:r w:rsidRPr="00AD5979">
        <w:rPr>
          <w:rFonts w:ascii="Alef" w:hAnsi="Alef" w:cs="Alef"/>
          <w:rtl/>
        </w:rPr>
        <w:t xml:space="preserve"> </w:t>
      </w:r>
      <w:r w:rsidRPr="00AD5979">
        <w:rPr>
          <w:rFonts w:ascii="Alef" w:hAnsi="Alef" w:cs="Alef" w:hint="eastAsia"/>
          <w:rtl/>
        </w:rPr>
        <w:t>הפירות</w:t>
      </w:r>
      <w:r w:rsidRPr="00AD5979">
        <w:rPr>
          <w:rFonts w:ascii="Alef" w:hAnsi="Alef" w:cs="Alef"/>
          <w:rtl/>
        </w:rPr>
        <w:t xml:space="preserve"> </w:t>
      </w:r>
      <w:r w:rsidRPr="00AD5979">
        <w:rPr>
          <w:rFonts w:ascii="Alef" w:hAnsi="Alef" w:cs="Alef" w:hint="eastAsia"/>
          <w:rtl/>
        </w:rPr>
        <w:t>והירקות</w:t>
      </w:r>
      <w:r w:rsidRPr="00AD5979">
        <w:rPr>
          <w:rFonts w:ascii="Alef" w:hAnsi="Alef" w:cs="Alef"/>
          <w:rtl/>
        </w:rPr>
        <w:t xml:space="preserve">, </w:t>
      </w:r>
      <w:r w:rsidRPr="00AD5979">
        <w:rPr>
          <w:rFonts w:ascii="Alef" w:hAnsi="Alef" w:cs="Alef" w:hint="eastAsia"/>
          <w:rtl/>
        </w:rPr>
        <w:t>לקצב</w:t>
      </w:r>
      <w:r w:rsidRPr="00AD5979">
        <w:rPr>
          <w:rFonts w:ascii="Alef" w:hAnsi="Alef" w:cs="Alef"/>
          <w:rtl/>
        </w:rPr>
        <w:t xml:space="preserve"> </w:t>
      </w:r>
      <w:r w:rsidRPr="00AD5979">
        <w:rPr>
          <w:rFonts w:ascii="Alef" w:hAnsi="Alef" w:cs="Alef" w:hint="eastAsia"/>
          <w:rtl/>
        </w:rPr>
        <w:t>עליית</w:t>
      </w:r>
      <w:r w:rsidRPr="00AD5979">
        <w:rPr>
          <w:rFonts w:ascii="Alef" w:hAnsi="Alef" w:cs="Alef"/>
          <w:rtl/>
        </w:rPr>
        <w:t xml:space="preserve"> </w:t>
      </w:r>
      <w:r w:rsidRPr="00AD5979">
        <w:rPr>
          <w:rFonts w:ascii="Alef" w:hAnsi="Alef" w:cs="Alef" w:hint="eastAsia"/>
          <w:rtl/>
        </w:rPr>
        <w:t>המחירים</w:t>
      </w:r>
      <w:r w:rsidRPr="00AD5979">
        <w:rPr>
          <w:rFonts w:ascii="Alef" w:hAnsi="Alef" w:cs="Alef"/>
          <w:rtl/>
        </w:rPr>
        <w:t xml:space="preserve"> </w:t>
      </w:r>
      <w:r w:rsidRPr="00AD5979">
        <w:rPr>
          <w:rFonts w:ascii="Alef" w:hAnsi="Alef" w:cs="Alef" w:hint="eastAsia"/>
          <w:rtl/>
        </w:rPr>
        <w:t>הכללי</w:t>
      </w:r>
      <w:r w:rsidRPr="00AD5979">
        <w:rPr>
          <w:rFonts w:ascii="Alef" w:hAnsi="Alef" w:cs="Alef"/>
          <w:rtl/>
        </w:rPr>
        <w:t xml:space="preserve"> (כפ</w:t>
      </w:r>
      <w:r w:rsidRPr="00AD5979">
        <w:rPr>
          <w:rFonts w:ascii="Alef" w:hAnsi="Alef" w:cs="Alef" w:hint="eastAsia"/>
          <w:rtl/>
        </w:rPr>
        <w:t>י</w:t>
      </w:r>
      <w:r w:rsidRPr="00AD5979">
        <w:rPr>
          <w:rFonts w:ascii="Alef" w:hAnsi="Alef" w:cs="Alef"/>
          <w:rtl/>
        </w:rPr>
        <w:t xml:space="preserve"> </w:t>
      </w:r>
      <w:r w:rsidRPr="00AD5979">
        <w:rPr>
          <w:rFonts w:ascii="Alef" w:hAnsi="Alef" w:cs="Alef" w:hint="eastAsia"/>
          <w:rtl/>
        </w:rPr>
        <w:t>שבא</w:t>
      </w:r>
      <w:r w:rsidRPr="00AD5979">
        <w:rPr>
          <w:rFonts w:ascii="Alef" w:hAnsi="Alef" w:cs="Alef"/>
          <w:rtl/>
        </w:rPr>
        <w:t xml:space="preserve"> </w:t>
      </w:r>
      <w:r w:rsidRPr="00AD5979">
        <w:rPr>
          <w:rFonts w:ascii="Alef" w:hAnsi="Alef" w:cs="Alef" w:hint="eastAsia"/>
          <w:rtl/>
        </w:rPr>
        <w:t>לידי</w:t>
      </w:r>
      <w:r w:rsidRPr="00AD5979">
        <w:rPr>
          <w:rFonts w:ascii="Alef" w:hAnsi="Alef" w:cs="Alef"/>
          <w:rtl/>
        </w:rPr>
        <w:t xml:space="preserve"> </w:t>
      </w:r>
      <w:r w:rsidRPr="00AD5979">
        <w:rPr>
          <w:rFonts w:ascii="Alef" w:hAnsi="Alef" w:cs="Alef" w:hint="eastAsia"/>
          <w:rtl/>
        </w:rPr>
        <w:t>ביטוי</w:t>
      </w:r>
      <w:r w:rsidRPr="00AD5979">
        <w:rPr>
          <w:rFonts w:ascii="Alef" w:hAnsi="Alef" w:cs="Alef"/>
          <w:rtl/>
        </w:rPr>
        <w:t xml:space="preserve"> </w:t>
      </w:r>
      <w:r w:rsidRPr="00AD5979">
        <w:rPr>
          <w:rFonts w:ascii="Alef" w:hAnsi="Alef" w:cs="Alef" w:hint="eastAsia"/>
          <w:rtl/>
        </w:rPr>
        <w:t>במדד</w:t>
      </w:r>
      <w:r w:rsidRPr="00AD5979">
        <w:rPr>
          <w:rFonts w:ascii="Alef" w:hAnsi="Alef" w:cs="Alef"/>
          <w:rtl/>
        </w:rPr>
        <w:t xml:space="preserve"> </w:t>
      </w:r>
      <w:r w:rsidRPr="00AD5979">
        <w:rPr>
          <w:rFonts w:ascii="Alef" w:hAnsi="Alef" w:cs="Alef" w:hint="eastAsia"/>
          <w:rtl/>
        </w:rPr>
        <w:t>המחירים</w:t>
      </w:r>
      <w:r w:rsidRPr="00AD5979">
        <w:rPr>
          <w:rFonts w:ascii="Alef" w:hAnsi="Alef" w:cs="Alef"/>
          <w:rtl/>
        </w:rPr>
        <w:t xml:space="preserve"> </w:t>
      </w:r>
      <w:r w:rsidRPr="00AD5979">
        <w:rPr>
          <w:rFonts w:ascii="Alef" w:hAnsi="Alef" w:cs="Alef" w:hint="eastAsia"/>
          <w:rtl/>
        </w:rPr>
        <w:t>לצרכן</w:t>
      </w:r>
      <w:r w:rsidRPr="00AD5979">
        <w:rPr>
          <w:rFonts w:ascii="Alef" w:hAnsi="Alef" w:cs="Alef"/>
          <w:rtl/>
        </w:rPr>
        <w:t xml:space="preserve">; </w:t>
      </w:r>
      <w:r w:rsidRPr="00AD5979">
        <w:rPr>
          <w:rFonts w:ascii="Alef" w:hAnsi="Alef" w:cs="Alef" w:hint="eastAsia"/>
          <w:rtl/>
        </w:rPr>
        <w:t>ראה</w:t>
      </w:r>
      <w:r w:rsidRPr="00AD5979">
        <w:rPr>
          <w:rFonts w:ascii="Alef" w:hAnsi="Alef" w:cs="Alef"/>
          <w:rtl/>
        </w:rPr>
        <w:t xml:space="preserve"> </w:t>
      </w:r>
      <w:r w:rsidRPr="00AD5979">
        <w:rPr>
          <w:rFonts w:ascii="Alef" w:hAnsi="Alef" w:cs="Alef" w:hint="eastAsia"/>
          <w:rtl/>
        </w:rPr>
        <w:t>תרשים</w:t>
      </w:r>
      <w:r w:rsidRPr="00AD5979">
        <w:rPr>
          <w:rFonts w:ascii="Alef" w:hAnsi="Alef" w:cs="Alef"/>
          <w:rtl/>
        </w:rPr>
        <w:t xml:space="preserve"> </w:t>
      </w:r>
      <w:r w:rsidRPr="00AD5979">
        <w:rPr>
          <w:rFonts w:ascii="Alef" w:hAnsi="Alef" w:cs="Alef" w:hint="eastAsia"/>
          <w:rtl/>
        </w:rPr>
        <w:t>מטה</w:t>
      </w:r>
      <w:r w:rsidRPr="00AD5979">
        <w:rPr>
          <w:rFonts w:ascii="Alef" w:hAnsi="Alef" w:cs="Alef"/>
          <w:rtl/>
        </w:rPr>
        <w:t xml:space="preserve">). </w:t>
      </w:r>
    </w:p>
    <w:p w14:paraId="0B551708" w14:textId="0410F743" w:rsidR="00F04A53" w:rsidRPr="005F2F6F" w:rsidRDefault="00F04A53" w:rsidP="00F44555">
      <w:pPr>
        <w:jc w:val="center"/>
        <w:rPr>
          <w:rFonts w:ascii="Alef" w:hAnsi="Alef" w:cs="Alef"/>
          <w:b/>
          <w:bCs/>
          <w:rtl/>
        </w:rPr>
      </w:pPr>
      <w:r w:rsidRPr="005F2F6F">
        <w:rPr>
          <w:rFonts w:ascii="Alef" w:hAnsi="Alef" w:cs="Alef"/>
          <w:b/>
          <w:bCs/>
          <w:rtl/>
        </w:rPr>
        <w:t xml:space="preserve">תרשים 1: מדד </w:t>
      </w:r>
      <w:r>
        <w:rPr>
          <w:rFonts w:ascii="Alef" w:hAnsi="Alef" w:cs="Alef" w:hint="cs"/>
          <w:b/>
          <w:bCs/>
          <w:rtl/>
        </w:rPr>
        <w:t xml:space="preserve">מחירי הפירות והירקות לעומת מדד המחירים לצרכן, 2010-2021 </w:t>
      </w:r>
    </w:p>
    <w:p w14:paraId="49F9ECE5" w14:textId="77777777" w:rsidR="00EE011F" w:rsidRPr="00AD5979" w:rsidRDefault="00EE011F" w:rsidP="00EE011F">
      <w:pPr>
        <w:pStyle w:val="2"/>
        <w:numPr>
          <w:ilvl w:val="0"/>
          <w:numId w:val="0"/>
        </w:numPr>
        <w:rPr>
          <w:rFonts w:ascii="Alef" w:hAnsi="Alef" w:cs="Alef"/>
          <w:rtl/>
        </w:rPr>
      </w:pPr>
      <w:r w:rsidRPr="007506C2">
        <w:rPr>
          <w:noProof/>
        </w:rPr>
        <w:drawing>
          <wp:inline distT="0" distB="0" distL="0" distR="0" wp14:anchorId="6F0BA3A6" wp14:editId="2C92102A">
            <wp:extent cx="5274310" cy="2332355"/>
            <wp:effectExtent l="0" t="0" r="2540" b="10795"/>
            <wp:docPr id="5" name="תרשים 2">
              <a:extLst xmlns:a="http://schemas.openxmlformats.org/drawingml/2006/main">
                <a:ext uri="{FF2B5EF4-FFF2-40B4-BE49-F238E27FC236}">
                  <a16:creationId xmlns:a16="http://schemas.microsoft.com/office/drawing/2014/main" id="{B6FBF401-77A8-4238-A198-F14C32DEB8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401ED54" w14:textId="77777777" w:rsidR="00EE011F" w:rsidRPr="007F7CF6" w:rsidRDefault="00EE011F" w:rsidP="00EE011F">
      <w:pPr>
        <w:pStyle w:val="2"/>
        <w:numPr>
          <w:ilvl w:val="0"/>
          <w:numId w:val="0"/>
        </w:numPr>
        <w:ind w:left="-58"/>
        <w:rPr>
          <w:rFonts w:ascii="Alef" w:hAnsi="Alef" w:cs="Alef"/>
          <w:sz w:val="20"/>
          <w:szCs w:val="20"/>
        </w:rPr>
      </w:pPr>
      <w:r w:rsidRPr="007F7CF6">
        <w:rPr>
          <w:rFonts w:ascii="Alef" w:hAnsi="Alef" w:cs="Alef" w:hint="eastAsia"/>
          <w:sz w:val="20"/>
          <w:szCs w:val="20"/>
          <w:rtl/>
        </w:rPr>
        <w:t>מקור</w:t>
      </w:r>
      <w:r w:rsidRPr="007F7CF6">
        <w:rPr>
          <w:rFonts w:ascii="Alef" w:hAnsi="Alef" w:cs="Alef"/>
          <w:sz w:val="20"/>
          <w:szCs w:val="20"/>
          <w:rtl/>
        </w:rPr>
        <w:t xml:space="preserve">: </w:t>
      </w:r>
      <w:r w:rsidRPr="007F7CF6">
        <w:rPr>
          <w:rFonts w:ascii="Alef" w:hAnsi="Alef" w:cs="Alef" w:hint="eastAsia"/>
          <w:sz w:val="20"/>
          <w:szCs w:val="20"/>
          <w:rtl/>
        </w:rPr>
        <w:t>הלשכה</w:t>
      </w:r>
      <w:r w:rsidRPr="007F7CF6">
        <w:rPr>
          <w:rFonts w:ascii="Alef" w:hAnsi="Alef" w:cs="Alef"/>
          <w:sz w:val="20"/>
          <w:szCs w:val="20"/>
          <w:rtl/>
        </w:rPr>
        <w:t xml:space="preserve"> </w:t>
      </w:r>
      <w:r w:rsidRPr="007F7CF6">
        <w:rPr>
          <w:rFonts w:ascii="Alef" w:hAnsi="Alef" w:cs="Alef" w:hint="eastAsia"/>
          <w:sz w:val="20"/>
          <w:szCs w:val="20"/>
          <w:rtl/>
        </w:rPr>
        <w:t>המרכזית</w:t>
      </w:r>
      <w:r w:rsidRPr="007F7CF6">
        <w:rPr>
          <w:rFonts w:ascii="Alef" w:hAnsi="Alef" w:cs="Alef"/>
          <w:sz w:val="20"/>
          <w:szCs w:val="20"/>
          <w:rtl/>
        </w:rPr>
        <w:t xml:space="preserve"> </w:t>
      </w:r>
      <w:r w:rsidRPr="007F7CF6">
        <w:rPr>
          <w:rFonts w:ascii="Alef" w:hAnsi="Alef" w:cs="Alef" w:hint="eastAsia"/>
          <w:sz w:val="20"/>
          <w:szCs w:val="20"/>
          <w:rtl/>
        </w:rPr>
        <w:t>לסטטיסטיקה</w:t>
      </w:r>
      <w:r w:rsidRPr="007F7CF6">
        <w:rPr>
          <w:rFonts w:ascii="Alef" w:hAnsi="Alef" w:cs="Alef"/>
          <w:sz w:val="20"/>
          <w:szCs w:val="20"/>
          <w:rtl/>
        </w:rPr>
        <w:t xml:space="preserve">; </w:t>
      </w:r>
      <w:r w:rsidRPr="007F7CF6">
        <w:rPr>
          <w:rFonts w:ascii="Alef" w:hAnsi="Alef" w:cs="Alef" w:hint="eastAsia"/>
          <w:sz w:val="20"/>
          <w:szCs w:val="20"/>
          <w:rtl/>
        </w:rPr>
        <w:t>עיבודי</w:t>
      </w:r>
      <w:r w:rsidRPr="007F7CF6">
        <w:rPr>
          <w:rFonts w:ascii="Alef" w:hAnsi="Alef" w:cs="Alef"/>
          <w:sz w:val="20"/>
          <w:szCs w:val="20"/>
          <w:rtl/>
        </w:rPr>
        <w:t xml:space="preserve"> </w:t>
      </w:r>
      <w:r w:rsidRPr="007F7CF6">
        <w:rPr>
          <w:rFonts w:ascii="Alef" w:hAnsi="Alef" w:cs="Alef" w:hint="eastAsia"/>
          <w:sz w:val="20"/>
          <w:szCs w:val="20"/>
          <w:rtl/>
        </w:rPr>
        <w:t>רשות</w:t>
      </w:r>
      <w:r w:rsidRPr="007F7CF6">
        <w:rPr>
          <w:rFonts w:ascii="Alef" w:hAnsi="Alef" w:cs="Alef"/>
          <w:sz w:val="20"/>
          <w:szCs w:val="20"/>
          <w:rtl/>
        </w:rPr>
        <w:t xml:space="preserve"> </w:t>
      </w:r>
      <w:r w:rsidRPr="007F7CF6">
        <w:rPr>
          <w:rFonts w:ascii="Alef" w:hAnsi="Alef" w:cs="Alef" w:hint="eastAsia"/>
          <w:sz w:val="20"/>
          <w:szCs w:val="20"/>
          <w:rtl/>
        </w:rPr>
        <w:t>התחרות</w:t>
      </w:r>
    </w:p>
    <w:p w14:paraId="28F698F9" w14:textId="58AF1A7B" w:rsidR="0037009A" w:rsidRDefault="00396D91" w:rsidP="00791548">
      <w:pPr>
        <w:pStyle w:val="2"/>
        <w:numPr>
          <w:ilvl w:val="0"/>
          <w:numId w:val="0"/>
        </w:numPr>
        <w:spacing w:line="480" w:lineRule="auto"/>
        <w:rPr>
          <w:rFonts w:ascii="Alef" w:hAnsi="Alef" w:cs="Alef"/>
          <w:rtl/>
        </w:rPr>
      </w:pPr>
      <w:r>
        <w:rPr>
          <w:rFonts w:ascii="Alef" w:hAnsi="Alef" w:cs="Alef" w:hint="cs"/>
          <w:rtl/>
        </w:rPr>
        <w:t xml:space="preserve">מבדיקה ראשונית שערכה </w:t>
      </w:r>
      <w:r w:rsidR="0037009A">
        <w:rPr>
          <w:rFonts w:ascii="Alef" w:hAnsi="Alef" w:cs="Alef" w:hint="cs"/>
          <w:rtl/>
        </w:rPr>
        <w:t xml:space="preserve">רשות התחרות </w:t>
      </w:r>
      <w:r>
        <w:rPr>
          <w:rFonts w:ascii="Alef" w:hAnsi="Alef" w:cs="Alef" w:hint="cs"/>
          <w:rtl/>
        </w:rPr>
        <w:t xml:space="preserve">עולה כי בין השנים </w:t>
      </w:r>
      <w:r w:rsidRPr="00AD5979">
        <w:rPr>
          <w:rFonts w:ascii="Alef" w:hAnsi="Alef" w:cs="Alef"/>
          <w:rtl/>
        </w:rPr>
        <w:t>2017-2018</w:t>
      </w:r>
      <w:r>
        <w:rPr>
          <w:rFonts w:ascii="Alef" w:hAnsi="Alef" w:cs="Alef" w:hint="cs"/>
          <w:rtl/>
        </w:rPr>
        <w:t xml:space="preserve">, בהן עלו מחירי הפירות </w:t>
      </w:r>
      <w:r w:rsidR="00154C9D">
        <w:rPr>
          <w:rFonts w:ascii="Alef" w:hAnsi="Alef" w:cs="Alef" w:hint="cs"/>
          <w:rtl/>
        </w:rPr>
        <w:t xml:space="preserve">והירקות </w:t>
      </w:r>
      <w:r>
        <w:rPr>
          <w:rFonts w:ascii="Alef" w:hAnsi="Alef" w:cs="Alef" w:hint="cs"/>
          <w:rtl/>
        </w:rPr>
        <w:t xml:space="preserve">באופן </w:t>
      </w:r>
      <w:r w:rsidRPr="00123C47">
        <w:rPr>
          <w:rFonts w:ascii="Alef" w:hAnsi="Alef" w:cs="Alef" w:hint="cs"/>
          <w:rtl/>
        </w:rPr>
        <w:t>משמעותי,</w:t>
      </w:r>
      <w:r w:rsidRPr="001F0EF9">
        <w:rPr>
          <w:rFonts w:ascii="Alef" w:hAnsi="Alef" w:cs="Alef"/>
          <w:rtl/>
        </w:rPr>
        <w:t xml:space="preserve"> </w:t>
      </w:r>
      <w:r w:rsidRPr="00BE4C6A">
        <w:rPr>
          <w:rFonts w:ascii="Alef" w:hAnsi="Alef" w:cs="Alef" w:hint="eastAsia"/>
          <w:rtl/>
        </w:rPr>
        <w:t>לא</w:t>
      </w:r>
      <w:r w:rsidRPr="00BE4C6A">
        <w:rPr>
          <w:rFonts w:ascii="Alef" w:hAnsi="Alef" w:cs="Alef"/>
          <w:rtl/>
        </w:rPr>
        <w:t xml:space="preserve"> </w:t>
      </w:r>
      <w:r w:rsidRPr="00BE4C6A">
        <w:rPr>
          <w:rFonts w:ascii="Alef" w:hAnsi="Alef" w:cs="Alef" w:hint="eastAsia"/>
          <w:rtl/>
        </w:rPr>
        <w:t>נצפתה</w:t>
      </w:r>
      <w:r w:rsidRPr="00BE4C6A">
        <w:rPr>
          <w:rFonts w:ascii="Alef" w:hAnsi="Alef" w:cs="Alef"/>
          <w:rtl/>
        </w:rPr>
        <w:t xml:space="preserve"> </w:t>
      </w:r>
      <w:r w:rsidRPr="00BE4C6A">
        <w:rPr>
          <w:rFonts w:ascii="Alef" w:hAnsi="Alef" w:cs="Alef" w:hint="eastAsia"/>
          <w:rtl/>
        </w:rPr>
        <w:t>עליה</w:t>
      </w:r>
      <w:r w:rsidRPr="00BE4C6A">
        <w:rPr>
          <w:rFonts w:ascii="Alef" w:hAnsi="Alef" w:cs="Alef"/>
          <w:rtl/>
        </w:rPr>
        <w:t xml:space="preserve"> </w:t>
      </w:r>
      <w:r w:rsidRPr="00BE4C6A">
        <w:rPr>
          <w:rFonts w:ascii="Alef" w:hAnsi="Alef" w:cs="Alef" w:hint="eastAsia"/>
          <w:rtl/>
        </w:rPr>
        <w:t>במרווח</w:t>
      </w:r>
      <w:r w:rsidRPr="00BE4C6A">
        <w:rPr>
          <w:rFonts w:ascii="Alef" w:hAnsi="Alef" w:cs="Alef"/>
          <w:rtl/>
        </w:rPr>
        <w:t xml:space="preserve"> </w:t>
      </w:r>
      <w:r w:rsidRPr="00BE4C6A">
        <w:rPr>
          <w:rFonts w:ascii="Alef" w:hAnsi="Alef" w:cs="Alef" w:hint="eastAsia"/>
          <w:rtl/>
        </w:rPr>
        <w:t>השיווק</w:t>
      </w:r>
      <w:r w:rsidRPr="00BE4C6A">
        <w:rPr>
          <w:rFonts w:ascii="Alef" w:hAnsi="Alef" w:cs="Alef"/>
          <w:rtl/>
        </w:rPr>
        <w:t xml:space="preserve"> </w:t>
      </w:r>
      <w:r w:rsidRPr="00BE4C6A">
        <w:rPr>
          <w:rFonts w:ascii="Alef" w:hAnsi="Alef" w:cs="Alef" w:hint="eastAsia"/>
          <w:rtl/>
        </w:rPr>
        <w:t>הקמעונאי</w:t>
      </w:r>
      <w:r w:rsidRPr="00123C47">
        <w:rPr>
          <w:rFonts w:ascii="Alef" w:hAnsi="Alef" w:cs="Alef"/>
          <w:rtl/>
        </w:rPr>
        <w:t xml:space="preserve"> </w:t>
      </w:r>
      <w:r w:rsidRPr="000D647C">
        <w:rPr>
          <w:rFonts w:ascii="Alef" w:hAnsi="Alef" w:cs="Alef"/>
          <w:rtl/>
        </w:rPr>
        <w:t xml:space="preserve">וכן </w:t>
      </w:r>
      <w:r w:rsidRPr="000D647C">
        <w:rPr>
          <w:rFonts w:ascii="Alef" w:hAnsi="Alef" w:cs="Alef" w:hint="eastAsia"/>
          <w:rtl/>
        </w:rPr>
        <w:t>לא</w:t>
      </w:r>
      <w:r w:rsidRPr="000D647C">
        <w:rPr>
          <w:rFonts w:ascii="Alef" w:hAnsi="Alef" w:cs="Alef"/>
          <w:rtl/>
        </w:rPr>
        <w:t xml:space="preserve"> </w:t>
      </w:r>
      <w:r w:rsidRPr="000D647C">
        <w:rPr>
          <w:rFonts w:ascii="Alef" w:hAnsi="Alef" w:cs="Alef" w:hint="eastAsia"/>
          <w:rtl/>
        </w:rPr>
        <w:t>נצפתה</w:t>
      </w:r>
      <w:r w:rsidRPr="000D647C">
        <w:rPr>
          <w:rFonts w:ascii="Alef" w:hAnsi="Alef" w:cs="Alef"/>
          <w:rtl/>
        </w:rPr>
        <w:t xml:space="preserve"> </w:t>
      </w:r>
      <w:r w:rsidRPr="000D647C">
        <w:rPr>
          <w:rFonts w:ascii="Alef" w:hAnsi="Alef" w:cs="Alef" w:hint="eastAsia"/>
          <w:rtl/>
        </w:rPr>
        <w:t>עליה</w:t>
      </w:r>
      <w:r w:rsidRPr="000D647C">
        <w:rPr>
          <w:rFonts w:ascii="Alef" w:hAnsi="Alef" w:cs="Alef"/>
          <w:rtl/>
        </w:rPr>
        <w:t xml:space="preserve"> </w:t>
      </w:r>
      <w:r w:rsidRPr="000D647C">
        <w:rPr>
          <w:rFonts w:ascii="Alef" w:hAnsi="Alef" w:cs="Alef" w:hint="eastAsia"/>
          <w:rtl/>
        </w:rPr>
        <w:t>במרווח</w:t>
      </w:r>
      <w:r w:rsidRPr="000D647C">
        <w:rPr>
          <w:rFonts w:ascii="Alef" w:hAnsi="Alef" w:cs="Alef"/>
          <w:rtl/>
        </w:rPr>
        <w:t xml:space="preserve"> </w:t>
      </w:r>
      <w:r w:rsidRPr="000D647C">
        <w:rPr>
          <w:rFonts w:ascii="Alef" w:hAnsi="Alef" w:cs="Alef" w:hint="eastAsia"/>
          <w:rtl/>
        </w:rPr>
        <w:t>השיווק</w:t>
      </w:r>
      <w:r w:rsidRPr="000D647C">
        <w:rPr>
          <w:rFonts w:ascii="Alef" w:hAnsi="Alef" w:cs="Alef"/>
          <w:rtl/>
        </w:rPr>
        <w:t xml:space="preserve"> </w:t>
      </w:r>
      <w:r w:rsidRPr="000D647C">
        <w:rPr>
          <w:rFonts w:ascii="Alef" w:hAnsi="Alef" w:cs="Alef" w:hint="eastAsia"/>
          <w:rtl/>
        </w:rPr>
        <w:t>הסיטונאי</w:t>
      </w:r>
      <w:r w:rsidRPr="000D647C">
        <w:rPr>
          <w:rFonts w:ascii="Alef" w:hAnsi="Alef" w:cs="Alef"/>
          <w:rtl/>
        </w:rPr>
        <w:t>.</w:t>
      </w:r>
      <w:r w:rsidRPr="00AD5979">
        <w:rPr>
          <w:rFonts w:ascii="Alef" w:hAnsi="Alef" w:cs="Alef"/>
          <w:rtl/>
        </w:rPr>
        <w:t xml:space="preserve"> לשון אחר, </w:t>
      </w:r>
      <w:r w:rsidRPr="00BE4C6A">
        <w:rPr>
          <w:rFonts w:ascii="Alef" w:hAnsi="Alef" w:cs="Alef"/>
          <w:b/>
          <w:bCs/>
          <w:u w:val="single"/>
          <w:rtl/>
        </w:rPr>
        <w:t xml:space="preserve">עליית מחירי </w:t>
      </w:r>
      <w:r w:rsidR="00154C9D">
        <w:rPr>
          <w:rFonts w:ascii="Alef" w:hAnsi="Alef" w:cs="Alef" w:hint="cs"/>
          <w:b/>
          <w:bCs/>
          <w:u w:val="single"/>
          <w:rtl/>
        </w:rPr>
        <w:t>הפירות ו</w:t>
      </w:r>
      <w:r w:rsidRPr="00BE4C6A">
        <w:rPr>
          <w:rFonts w:ascii="Alef" w:hAnsi="Alef" w:cs="Alef" w:hint="cs"/>
          <w:b/>
          <w:bCs/>
          <w:u w:val="single"/>
          <w:rtl/>
        </w:rPr>
        <w:t>ה</w:t>
      </w:r>
      <w:r w:rsidRPr="00BE4C6A">
        <w:rPr>
          <w:rFonts w:ascii="Alef" w:hAnsi="Alef" w:cs="Alef"/>
          <w:b/>
          <w:bCs/>
          <w:u w:val="single"/>
          <w:rtl/>
        </w:rPr>
        <w:t xml:space="preserve">ירקות </w:t>
      </w:r>
      <w:r w:rsidRPr="00BE4C6A">
        <w:rPr>
          <w:rFonts w:ascii="Alef" w:hAnsi="Alef" w:cs="Alef" w:hint="cs"/>
          <w:b/>
          <w:bCs/>
          <w:u w:val="single"/>
          <w:rtl/>
        </w:rPr>
        <w:t xml:space="preserve">בשנים אלו </w:t>
      </w:r>
      <w:r w:rsidRPr="00BE4C6A">
        <w:rPr>
          <w:rFonts w:ascii="Alef" w:hAnsi="Alef" w:cs="Alef"/>
          <w:b/>
          <w:bCs/>
          <w:u w:val="single"/>
          <w:rtl/>
        </w:rPr>
        <w:t>אינה נובעת מהגדלת שיעור הרווח על ידי הקמעונאים או הסיטונאים</w:t>
      </w:r>
      <w:r w:rsidRPr="00AD5979">
        <w:rPr>
          <w:rFonts w:ascii="Alef" w:hAnsi="Alef" w:cs="Alef"/>
          <w:rtl/>
        </w:rPr>
        <w:t xml:space="preserve">. </w:t>
      </w:r>
      <w:r w:rsidR="00244389">
        <w:rPr>
          <w:rFonts w:ascii="Alef" w:hAnsi="Alef" w:cs="Alef" w:hint="cs"/>
          <w:rtl/>
        </w:rPr>
        <w:t xml:space="preserve">בפרט, </w:t>
      </w:r>
      <w:r w:rsidR="00C029D7">
        <w:rPr>
          <w:rFonts w:ascii="Alef" w:hAnsi="Alef" w:cs="Alef" w:hint="cs"/>
          <w:rtl/>
        </w:rPr>
        <w:t xml:space="preserve">הפער הממוצע בין </w:t>
      </w:r>
      <w:r w:rsidR="00C029D7">
        <w:rPr>
          <w:rFonts w:ascii="Alef" w:hAnsi="Alef" w:cs="Alef" w:hint="cs"/>
          <w:rtl/>
        </w:rPr>
        <w:lastRenderedPageBreak/>
        <w:t xml:space="preserve">מחיר הקניה למחיר המכירה </w:t>
      </w:r>
      <w:r w:rsidR="005A7769">
        <w:rPr>
          <w:rFonts w:ascii="Alef" w:hAnsi="Alef" w:cs="Alef" w:hint="cs"/>
          <w:rtl/>
        </w:rPr>
        <w:t>של ירקות ופירות אצל</w:t>
      </w:r>
      <w:r w:rsidR="007C7185">
        <w:rPr>
          <w:rFonts w:ascii="Alef" w:hAnsi="Alef" w:cs="Alef" w:hint="cs"/>
          <w:rtl/>
        </w:rPr>
        <w:t xml:space="preserve"> ה</w:t>
      </w:r>
      <w:r w:rsidR="00244389">
        <w:rPr>
          <w:rFonts w:ascii="Alef" w:hAnsi="Alef" w:cs="Alef" w:hint="cs"/>
          <w:rtl/>
        </w:rPr>
        <w:t xml:space="preserve">רשתות הנבחנות </w:t>
      </w:r>
      <w:r w:rsidR="007F4F0C">
        <w:rPr>
          <w:rFonts w:ascii="Alef" w:hAnsi="Alef" w:cs="Alef" w:hint="cs"/>
          <w:rtl/>
        </w:rPr>
        <w:t>ירד במעט בשנת 2018 ביחס לשנת 2017.</w:t>
      </w:r>
      <w:r w:rsidR="005A7769">
        <w:rPr>
          <w:rStyle w:val="FootnoteReference"/>
          <w:rFonts w:ascii="Alef" w:hAnsi="Alef" w:cs="Alef"/>
          <w:rtl/>
        </w:rPr>
        <w:footnoteReference w:id="1"/>
      </w:r>
    </w:p>
    <w:p w14:paraId="38F9CE84" w14:textId="2ACFB016" w:rsidR="00EE011F" w:rsidRDefault="008F450A" w:rsidP="00791548">
      <w:pPr>
        <w:pStyle w:val="2"/>
        <w:numPr>
          <w:ilvl w:val="0"/>
          <w:numId w:val="0"/>
        </w:numPr>
        <w:spacing w:line="480" w:lineRule="auto"/>
        <w:rPr>
          <w:rFonts w:ascii="Alef" w:hAnsi="Alef" w:cs="Alef"/>
          <w:rtl/>
        </w:rPr>
      </w:pPr>
      <w:r>
        <w:rPr>
          <w:rFonts w:ascii="Alef" w:hAnsi="Alef" w:cs="Alef" w:hint="cs"/>
          <w:rtl/>
        </w:rPr>
        <w:t>הבדיקה</w:t>
      </w:r>
      <w:r w:rsidR="00EE011F" w:rsidRPr="00AD5979">
        <w:rPr>
          <w:rFonts w:ascii="Alef" w:hAnsi="Alef" w:cs="Alef"/>
          <w:rtl/>
        </w:rPr>
        <w:t xml:space="preserve"> </w:t>
      </w:r>
      <w:r>
        <w:rPr>
          <w:rFonts w:ascii="Alef" w:hAnsi="Alef" w:cs="Alef" w:hint="cs"/>
          <w:rtl/>
        </w:rPr>
        <w:t xml:space="preserve">האמורה </w:t>
      </w:r>
      <w:r w:rsidR="00EE011F" w:rsidRPr="00AD5979">
        <w:rPr>
          <w:rFonts w:ascii="Alef" w:hAnsi="Alef" w:cs="Alef"/>
          <w:rtl/>
        </w:rPr>
        <w:t xml:space="preserve">מבוססת על ניתוח </w:t>
      </w:r>
      <w:r>
        <w:rPr>
          <w:rFonts w:ascii="Alef" w:hAnsi="Alef" w:cs="Alef" w:hint="cs"/>
          <w:rtl/>
        </w:rPr>
        <w:t xml:space="preserve">נתוני </w:t>
      </w:r>
      <w:r w:rsidR="00EE011F">
        <w:rPr>
          <w:rFonts w:ascii="Alef" w:hAnsi="Alef" w:cs="Alef" w:hint="cs"/>
          <w:rtl/>
        </w:rPr>
        <w:t xml:space="preserve">המכר והרכש של </w:t>
      </w:r>
      <w:r w:rsidR="00F65026">
        <w:rPr>
          <w:rFonts w:ascii="Alef" w:hAnsi="Alef" w:cs="Alef" w:hint="cs"/>
          <w:rtl/>
        </w:rPr>
        <w:t>חלק מה</w:t>
      </w:r>
      <w:r w:rsidR="00EE011F">
        <w:rPr>
          <w:rFonts w:ascii="Alef" w:hAnsi="Alef" w:cs="Alef" w:hint="cs"/>
          <w:rtl/>
        </w:rPr>
        <w:t>שחקנים</w:t>
      </w:r>
      <w:r w:rsidR="00F666A3">
        <w:rPr>
          <w:rFonts w:ascii="Alef" w:hAnsi="Alef" w:cs="Alef" w:hint="cs"/>
          <w:rtl/>
        </w:rPr>
        <w:t xml:space="preserve"> </w:t>
      </w:r>
      <w:r w:rsidR="00F65026">
        <w:rPr>
          <w:rFonts w:ascii="Alef" w:hAnsi="Alef" w:cs="Alef" w:hint="cs"/>
          <w:rtl/>
        </w:rPr>
        <w:t>ה</w:t>
      </w:r>
      <w:r w:rsidR="00F666A3">
        <w:rPr>
          <w:rFonts w:ascii="Alef" w:hAnsi="Alef" w:cs="Alef" w:hint="cs"/>
          <w:rtl/>
        </w:rPr>
        <w:t>גדולים</w:t>
      </w:r>
      <w:r w:rsidR="00EE011F">
        <w:rPr>
          <w:rFonts w:ascii="Alef" w:hAnsi="Alef" w:cs="Alef" w:hint="cs"/>
          <w:rtl/>
        </w:rPr>
        <w:t xml:space="preserve"> </w:t>
      </w:r>
      <w:r>
        <w:rPr>
          <w:rFonts w:ascii="Alef" w:hAnsi="Alef" w:cs="Alef" w:hint="cs"/>
          <w:rtl/>
        </w:rPr>
        <w:t>הפועלים בענף</w:t>
      </w:r>
      <w:r w:rsidR="00EE011F">
        <w:rPr>
          <w:rFonts w:ascii="Alef" w:hAnsi="Alef" w:cs="Alef" w:hint="cs"/>
          <w:rtl/>
        </w:rPr>
        <w:t xml:space="preserve">, על פני 20 הגידולים </w:t>
      </w:r>
      <w:r w:rsidR="00576A20">
        <w:rPr>
          <w:rFonts w:ascii="Alef" w:hAnsi="Alef" w:cs="Alef" w:hint="cs"/>
          <w:rtl/>
        </w:rPr>
        <w:t xml:space="preserve">הנמכרים </w:t>
      </w:r>
      <w:r>
        <w:rPr>
          <w:rFonts w:ascii="Alef" w:hAnsi="Alef" w:cs="Alef" w:hint="cs"/>
          <w:rtl/>
        </w:rPr>
        <w:t>ביותר</w:t>
      </w:r>
      <w:r w:rsidR="00EE011F">
        <w:rPr>
          <w:rFonts w:ascii="Alef" w:hAnsi="Alef" w:cs="Alef" w:hint="cs"/>
          <w:rtl/>
        </w:rPr>
        <w:t xml:space="preserve">, המהווים </w:t>
      </w:r>
      <w:r>
        <w:rPr>
          <w:rFonts w:ascii="Alef" w:hAnsi="Alef" w:cs="Alef" w:hint="cs"/>
          <w:rtl/>
        </w:rPr>
        <w:t xml:space="preserve">את </w:t>
      </w:r>
      <w:r w:rsidR="00EE011F">
        <w:rPr>
          <w:rFonts w:ascii="Alef" w:hAnsi="Alef" w:cs="Alef" w:hint="cs"/>
          <w:rtl/>
        </w:rPr>
        <w:t xml:space="preserve">חלק הארי בסך המכר של פירות וירקות בישראל. </w:t>
      </w:r>
      <w:r w:rsidR="00E95883">
        <w:rPr>
          <w:rFonts w:ascii="Alef" w:hAnsi="Alef" w:cs="Alef" w:hint="cs"/>
          <w:rtl/>
        </w:rPr>
        <w:t>בנוסף, בחינה של</w:t>
      </w:r>
      <w:r w:rsidR="000D647C">
        <w:rPr>
          <w:rFonts w:ascii="Alef" w:hAnsi="Alef" w:cs="Alef" w:hint="cs"/>
          <w:rtl/>
        </w:rPr>
        <w:t xml:space="preserve"> מחירי הקניה והמכירה של</w:t>
      </w:r>
      <w:r w:rsidR="00E95883">
        <w:rPr>
          <w:rFonts w:ascii="Alef" w:hAnsi="Alef" w:cs="Alef" w:hint="cs"/>
          <w:rtl/>
        </w:rPr>
        <w:t xml:space="preserve"> </w:t>
      </w:r>
      <w:r w:rsidR="005348F4">
        <w:rPr>
          <w:rFonts w:ascii="Alef" w:hAnsi="Alef" w:cs="Alef" w:hint="cs"/>
          <w:rtl/>
        </w:rPr>
        <w:t>20 ה</w:t>
      </w:r>
      <w:r w:rsidR="00E95883">
        <w:rPr>
          <w:rFonts w:ascii="Alef" w:hAnsi="Alef" w:cs="Alef" w:hint="cs"/>
          <w:rtl/>
        </w:rPr>
        <w:t xml:space="preserve">גידולים </w:t>
      </w:r>
      <w:r w:rsidR="00576A20">
        <w:rPr>
          <w:rFonts w:ascii="Alef" w:hAnsi="Alef" w:cs="Alef" w:hint="cs"/>
          <w:rtl/>
        </w:rPr>
        <w:t xml:space="preserve">הנמכרים </w:t>
      </w:r>
      <w:r w:rsidR="005348F4">
        <w:rPr>
          <w:rFonts w:ascii="Alef" w:hAnsi="Alef" w:cs="Alef" w:hint="cs"/>
          <w:rtl/>
        </w:rPr>
        <w:t xml:space="preserve">ביותר </w:t>
      </w:r>
      <w:r w:rsidR="000D647C">
        <w:rPr>
          <w:rFonts w:ascii="Alef" w:hAnsi="Alef" w:cs="Alef" w:hint="cs"/>
          <w:rtl/>
        </w:rPr>
        <w:t xml:space="preserve">ברשתות הקמעונאיות שנבדקו, </w:t>
      </w:r>
      <w:r w:rsidR="00E95883">
        <w:rPr>
          <w:rFonts w:ascii="Alef" w:hAnsi="Alef" w:cs="Alef" w:hint="cs"/>
          <w:rtl/>
        </w:rPr>
        <w:t xml:space="preserve">מראה כי ברוב המכריע של המקרים, עלייה במחיר </w:t>
      </w:r>
      <w:r w:rsidR="000D647C">
        <w:rPr>
          <w:rFonts w:ascii="Alef" w:hAnsi="Alef" w:cs="Alef" w:hint="cs"/>
          <w:rtl/>
        </w:rPr>
        <w:t xml:space="preserve">הקניה </w:t>
      </w:r>
      <w:r w:rsidR="00E95883">
        <w:rPr>
          <w:rFonts w:ascii="Alef" w:hAnsi="Alef" w:cs="Alef" w:hint="cs"/>
          <w:rtl/>
        </w:rPr>
        <w:t xml:space="preserve">של גידול מסוים הביאה לעלייה מקבילה במחיר </w:t>
      </w:r>
      <w:r w:rsidR="000D647C">
        <w:rPr>
          <w:rFonts w:ascii="Alef" w:hAnsi="Alef" w:cs="Alef" w:hint="cs"/>
          <w:rtl/>
        </w:rPr>
        <w:t xml:space="preserve">המכירה </w:t>
      </w:r>
      <w:r w:rsidR="00E95883" w:rsidRPr="00BE4C6A">
        <w:rPr>
          <w:rFonts w:ascii="Alef" w:hAnsi="Alef" w:cs="Alef" w:hint="cs"/>
          <w:rtl/>
        </w:rPr>
        <w:t>הקמעונאי של אותו גידול, ולהפך, ירידה במחיר ה</w:t>
      </w:r>
      <w:r w:rsidR="000D647C">
        <w:rPr>
          <w:rFonts w:ascii="Alef" w:hAnsi="Alef" w:cs="Alef" w:hint="cs"/>
          <w:rtl/>
        </w:rPr>
        <w:t>קניה</w:t>
      </w:r>
      <w:r w:rsidR="0056477B" w:rsidRPr="00BE4C6A">
        <w:rPr>
          <w:rFonts w:ascii="Alef" w:hAnsi="Alef" w:cs="Alef" w:hint="cs"/>
          <w:rtl/>
        </w:rPr>
        <w:t xml:space="preserve"> התגלגלה לירידת מחירים לצרכן.</w:t>
      </w:r>
      <w:r w:rsidR="00EA0802">
        <w:rPr>
          <w:rFonts w:ascii="Alef" w:hAnsi="Alef" w:cs="Alef" w:hint="cs"/>
          <w:rtl/>
        </w:rPr>
        <w:t xml:space="preserve"> כך למשל: ראו את מגמת השינוי במחירי הקניה והמכירה </w:t>
      </w:r>
      <w:r w:rsidR="002272D8">
        <w:rPr>
          <w:rFonts w:ascii="Alef" w:hAnsi="Alef" w:cs="Alef" w:hint="cs"/>
          <w:rtl/>
        </w:rPr>
        <w:t xml:space="preserve">בשקלים </w:t>
      </w:r>
      <w:r w:rsidR="00576A20">
        <w:rPr>
          <w:rFonts w:ascii="Alef" w:hAnsi="Alef" w:cs="Alef" w:hint="cs"/>
          <w:rtl/>
        </w:rPr>
        <w:t xml:space="preserve">לק"ג </w:t>
      </w:r>
      <w:r w:rsidR="00EA0802">
        <w:rPr>
          <w:rFonts w:ascii="Alef" w:hAnsi="Alef" w:cs="Alef" w:hint="cs"/>
          <w:rtl/>
        </w:rPr>
        <w:t>של פלפל</w:t>
      </w:r>
      <w:r w:rsidR="00576A20">
        <w:rPr>
          <w:rFonts w:ascii="Alef" w:hAnsi="Alef" w:cs="Alef" w:hint="cs"/>
          <w:rtl/>
        </w:rPr>
        <w:t>ים</w:t>
      </w:r>
      <w:r w:rsidR="00EA0802">
        <w:rPr>
          <w:rFonts w:ascii="Alef" w:hAnsi="Alef" w:cs="Alef" w:hint="cs"/>
          <w:rtl/>
        </w:rPr>
        <w:t>, תפוחים, ענבים ועגבניות</w:t>
      </w:r>
      <w:r w:rsidR="005243BC">
        <w:rPr>
          <w:rFonts w:ascii="Alef" w:hAnsi="Alef" w:cs="Alef" w:hint="cs"/>
          <w:rtl/>
        </w:rPr>
        <w:t xml:space="preserve"> (תרשימים של יתר הגידולים מצ"ב </w:t>
      </w:r>
      <w:r w:rsidR="005243BC" w:rsidRPr="0018287F">
        <w:rPr>
          <w:rFonts w:ascii="Alef" w:hAnsi="Alef" w:cs="Alef" w:hint="cs"/>
          <w:b/>
          <w:bCs/>
          <w:rtl/>
        </w:rPr>
        <w:t>כנספח א</w:t>
      </w:r>
      <w:r w:rsidR="005243BC">
        <w:rPr>
          <w:rFonts w:ascii="Alef" w:hAnsi="Alef" w:cs="Alef" w:hint="cs"/>
          <w:rtl/>
        </w:rPr>
        <w:t>' לעמדתנו)</w:t>
      </w:r>
      <w:r w:rsidR="00EA0802">
        <w:rPr>
          <w:rFonts w:ascii="Alef" w:hAnsi="Alef" w:cs="Alef" w:hint="cs"/>
          <w:rtl/>
        </w:rPr>
        <w:t>.</w:t>
      </w:r>
    </w:p>
    <w:p w14:paraId="3EE060EB" w14:textId="7A2A368C" w:rsidR="00F04A53" w:rsidRPr="005F2F6F" w:rsidRDefault="00211459" w:rsidP="006A3E53">
      <w:pPr>
        <w:ind w:right="-142"/>
        <w:jc w:val="center"/>
        <w:rPr>
          <w:rFonts w:ascii="Alef" w:hAnsi="Alef" w:cs="Alef"/>
          <w:b/>
          <w:bCs/>
          <w:rtl/>
        </w:rPr>
      </w:pPr>
      <w:r w:rsidRPr="00AA7231">
        <w:rPr>
          <w:rFonts w:ascii="Alef" w:hAnsi="Alef" w:cs="Alef"/>
          <w:noProof/>
          <w:rtl/>
        </w:rPr>
        <w:drawing>
          <wp:anchor distT="0" distB="0" distL="114300" distR="114300" simplePos="0" relativeHeight="251660288" behindDoc="0" locked="0" layoutInCell="1" allowOverlap="1" wp14:anchorId="011EDE0B" wp14:editId="46E52156">
            <wp:simplePos x="0" y="0"/>
            <wp:positionH relativeFrom="column">
              <wp:posOffset>-498475</wp:posOffset>
            </wp:positionH>
            <wp:positionV relativeFrom="page">
              <wp:posOffset>5582285</wp:posOffset>
            </wp:positionV>
            <wp:extent cx="2905125" cy="1714500"/>
            <wp:effectExtent l="0" t="0" r="9525" b="0"/>
            <wp:wrapTopAndBottom/>
            <wp:docPr id="25" name="תמונה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5125" cy="1714500"/>
                    </a:xfrm>
                    <a:prstGeom prst="rect">
                      <a:avLst/>
                    </a:prstGeom>
                    <a:noFill/>
                  </pic:spPr>
                </pic:pic>
              </a:graphicData>
            </a:graphic>
            <wp14:sizeRelH relativeFrom="margin">
              <wp14:pctWidth>0</wp14:pctWidth>
            </wp14:sizeRelH>
            <wp14:sizeRelV relativeFrom="margin">
              <wp14:pctHeight>0</wp14:pctHeight>
            </wp14:sizeRelV>
          </wp:anchor>
        </w:drawing>
      </w:r>
      <w:r w:rsidRPr="00AA7231">
        <w:rPr>
          <w:rFonts w:ascii="Alef" w:hAnsi="Alef" w:cs="Alef"/>
          <w:noProof/>
          <w:rtl/>
        </w:rPr>
        <w:drawing>
          <wp:anchor distT="0" distB="0" distL="114300" distR="114300" simplePos="0" relativeHeight="251659264" behindDoc="0" locked="0" layoutInCell="1" allowOverlap="1" wp14:anchorId="45D32795" wp14:editId="2AD31E95">
            <wp:simplePos x="0" y="0"/>
            <wp:positionH relativeFrom="column">
              <wp:posOffset>2418080</wp:posOffset>
            </wp:positionH>
            <wp:positionV relativeFrom="page">
              <wp:posOffset>5581650</wp:posOffset>
            </wp:positionV>
            <wp:extent cx="2943225" cy="1706880"/>
            <wp:effectExtent l="0" t="0" r="9525" b="7620"/>
            <wp:wrapTopAndBottom/>
            <wp:docPr id="23" name="תמונה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3225" cy="1706880"/>
                    </a:xfrm>
                    <a:prstGeom prst="rect">
                      <a:avLst/>
                    </a:prstGeom>
                    <a:noFill/>
                  </pic:spPr>
                </pic:pic>
              </a:graphicData>
            </a:graphic>
            <wp14:sizeRelH relativeFrom="margin">
              <wp14:pctWidth>0</wp14:pctWidth>
            </wp14:sizeRelH>
            <wp14:sizeRelV relativeFrom="margin">
              <wp14:pctHeight>0</wp14:pctHeight>
            </wp14:sizeRelV>
          </wp:anchor>
        </w:drawing>
      </w:r>
      <w:r w:rsidRPr="00AA7231">
        <w:rPr>
          <w:rFonts w:ascii="Alef" w:hAnsi="Alef" w:cs="Alef"/>
          <w:noProof/>
          <w:rtl/>
        </w:rPr>
        <w:drawing>
          <wp:anchor distT="0" distB="0" distL="114300" distR="114300" simplePos="0" relativeHeight="251661312" behindDoc="0" locked="0" layoutInCell="1" allowOverlap="1" wp14:anchorId="5D575A82" wp14:editId="457BF36F">
            <wp:simplePos x="0" y="0"/>
            <wp:positionH relativeFrom="column">
              <wp:posOffset>2418080</wp:posOffset>
            </wp:positionH>
            <wp:positionV relativeFrom="margin">
              <wp:posOffset>6370320</wp:posOffset>
            </wp:positionV>
            <wp:extent cx="2945765" cy="1805940"/>
            <wp:effectExtent l="0" t="0" r="6985" b="3810"/>
            <wp:wrapTopAndBottom/>
            <wp:docPr id="1042" name="תמונה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5765" cy="1805940"/>
                    </a:xfrm>
                    <a:prstGeom prst="rect">
                      <a:avLst/>
                    </a:prstGeom>
                    <a:noFill/>
                  </pic:spPr>
                </pic:pic>
              </a:graphicData>
            </a:graphic>
            <wp14:sizeRelH relativeFrom="margin">
              <wp14:pctWidth>0</wp14:pctWidth>
            </wp14:sizeRelH>
            <wp14:sizeRelV relativeFrom="margin">
              <wp14:pctHeight>0</wp14:pctHeight>
            </wp14:sizeRelV>
          </wp:anchor>
        </w:drawing>
      </w:r>
      <w:r w:rsidRPr="00AA7231">
        <w:rPr>
          <w:rFonts w:ascii="Alef" w:hAnsi="Alef" w:cs="Alef"/>
          <w:noProof/>
          <w:rtl/>
        </w:rPr>
        <w:drawing>
          <wp:anchor distT="0" distB="0" distL="114300" distR="114300" simplePos="0" relativeHeight="251662336" behindDoc="0" locked="0" layoutInCell="1" allowOverlap="1" wp14:anchorId="32639711" wp14:editId="407B9C6F">
            <wp:simplePos x="0" y="0"/>
            <wp:positionH relativeFrom="column">
              <wp:posOffset>-475615</wp:posOffset>
            </wp:positionH>
            <wp:positionV relativeFrom="page">
              <wp:posOffset>7304405</wp:posOffset>
            </wp:positionV>
            <wp:extent cx="2895600" cy="1777365"/>
            <wp:effectExtent l="0" t="0" r="0" b="0"/>
            <wp:wrapTopAndBottom/>
            <wp:docPr id="1043" name="תמונה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5600" cy="1777365"/>
                    </a:xfrm>
                    <a:prstGeom prst="rect">
                      <a:avLst/>
                    </a:prstGeom>
                    <a:noFill/>
                  </pic:spPr>
                </pic:pic>
              </a:graphicData>
            </a:graphic>
            <wp14:sizeRelH relativeFrom="margin">
              <wp14:pctWidth>0</wp14:pctWidth>
            </wp14:sizeRelH>
            <wp14:sizeRelV relativeFrom="margin">
              <wp14:pctHeight>0</wp14:pctHeight>
            </wp14:sizeRelV>
          </wp:anchor>
        </w:drawing>
      </w:r>
      <w:r w:rsidR="00F04A53" w:rsidRPr="005F2F6F">
        <w:rPr>
          <w:rFonts w:ascii="Alef" w:hAnsi="Alef" w:cs="Alef"/>
          <w:b/>
          <w:bCs/>
          <w:rtl/>
        </w:rPr>
        <w:t xml:space="preserve">תרשים </w:t>
      </w:r>
      <w:r w:rsidR="00F04A53">
        <w:rPr>
          <w:rFonts w:ascii="Alef" w:hAnsi="Alef" w:cs="Alef" w:hint="cs"/>
          <w:b/>
          <w:bCs/>
          <w:rtl/>
        </w:rPr>
        <w:t>2</w:t>
      </w:r>
      <w:r w:rsidR="00F04A53" w:rsidRPr="005F2F6F">
        <w:rPr>
          <w:rFonts w:ascii="Alef" w:hAnsi="Alef" w:cs="Alef"/>
          <w:b/>
          <w:bCs/>
          <w:rtl/>
        </w:rPr>
        <w:t xml:space="preserve">: </w:t>
      </w:r>
      <w:r w:rsidR="00F04A53">
        <w:rPr>
          <w:rFonts w:ascii="Alef" w:hAnsi="Alef" w:cs="Alef" w:hint="cs"/>
          <w:b/>
          <w:bCs/>
          <w:rtl/>
        </w:rPr>
        <w:t>מחיר</w:t>
      </w:r>
      <w:r w:rsidR="00DB5D9E">
        <w:rPr>
          <w:rFonts w:ascii="Alef" w:hAnsi="Alef" w:cs="Alef" w:hint="cs"/>
          <w:b/>
          <w:bCs/>
          <w:rtl/>
        </w:rPr>
        <w:t xml:space="preserve"> </w:t>
      </w:r>
      <w:r w:rsidR="00F04A53">
        <w:rPr>
          <w:rFonts w:ascii="Alef" w:hAnsi="Alef" w:cs="Alef" w:hint="cs"/>
          <w:b/>
          <w:bCs/>
          <w:rtl/>
        </w:rPr>
        <w:t>קניה ו</w:t>
      </w:r>
      <w:r w:rsidR="00DB5D9E">
        <w:rPr>
          <w:rFonts w:ascii="Alef" w:hAnsi="Alef" w:cs="Alef" w:hint="cs"/>
          <w:b/>
          <w:bCs/>
          <w:rtl/>
        </w:rPr>
        <w:t xml:space="preserve">מחיר </w:t>
      </w:r>
      <w:r w:rsidR="00F04A53">
        <w:rPr>
          <w:rFonts w:ascii="Alef" w:hAnsi="Alef" w:cs="Alef" w:hint="cs"/>
          <w:b/>
          <w:bCs/>
          <w:rtl/>
        </w:rPr>
        <w:t xml:space="preserve">מכירה </w:t>
      </w:r>
      <w:r w:rsidR="00DB5D9E">
        <w:rPr>
          <w:rFonts w:ascii="Alef" w:hAnsi="Alef" w:cs="Alef" w:hint="cs"/>
          <w:b/>
          <w:bCs/>
          <w:rtl/>
        </w:rPr>
        <w:t>קמעונאי,</w:t>
      </w:r>
      <w:r w:rsidR="00F04A53">
        <w:rPr>
          <w:rFonts w:ascii="Alef" w:hAnsi="Alef" w:cs="Alef" w:hint="cs"/>
          <w:b/>
          <w:bCs/>
          <w:rtl/>
        </w:rPr>
        <w:t xml:space="preserve"> ירקות ופירות נבחרים, 2017-2018 (₪ לק"ג)</w:t>
      </w:r>
    </w:p>
    <w:p w14:paraId="07F39F4F" w14:textId="05A9E6AB" w:rsidR="00766713" w:rsidRPr="00903A30" w:rsidRDefault="00363800" w:rsidP="00791548">
      <w:pPr>
        <w:pStyle w:val="2"/>
        <w:numPr>
          <w:ilvl w:val="0"/>
          <w:numId w:val="0"/>
        </w:numPr>
        <w:spacing w:line="480" w:lineRule="auto"/>
        <w:rPr>
          <w:rFonts w:ascii="Alef" w:hAnsi="Alef" w:cs="Alef"/>
        </w:rPr>
      </w:pPr>
      <w:r>
        <w:rPr>
          <w:rFonts w:ascii="Alef" w:hAnsi="Alef" w:cs="Alef" w:hint="cs"/>
          <w:rtl/>
        </w:rPr>
        <w:lastRenderedPageBreak/>
        <w:t>נוכח מגמת הייקור במחירי התוצרת החקלאית נוד</w:t>
      </w:r>
      <w:r w:rsidR="00BB6AD0">
        <w:rPr>
          <w:rFonts w:ascii="Alef" w:hAnsi="Alef" w:cs="Alef" w:hint="cs"/>
          <w:rtl/>
        </w:rPr>
        <w:t>ע</w:t>
      </w:r>
      <w:r>
        <w:rPr>
          <w:rFonts w:ascii="Alef" w:hAnsi="Alef" w:cs="Alef" w:hint="cs"/>
          <w:rtl/>
        </w:rPr>
        <w:t>ת חשיבות מיוחדת בעת הזו לפ</w:t>
      </w:r>
      <w:r w:rsidR="00766713" w:rsidRPr="00903A30">
        <w:rPr>
          <w:rFonts w:ascii="Alef" w:hAnsi="Alef" w:cs="Alef"/>
          <w:rtl/>
        </w:rPr>
        <w:t>תיחת המשק ליבוא, בין אם באמצעות הורדת מכסים או הסרת חס</w:t>
      </w:r>
      <w:r w:rsidR="00FE21C8">
        <w:rPr>
          <w:rFonts w:ascii="Alef" w:hAnsi="Alef" w:cs="Alef" w:hint="cs"/>
          <w:rtl/>
        </w:rPr>
        <w:t>מים</w:t>
      </w:r>
      <w:r w:rsidR="00766713" w:rsidRPr="00903A30">
        <w:rPr>
          <w:rFonts w:ascii="Alef" w:hAnsi="Alef" w:cs="Alef"/>
          <w:rtl/>
        </w:rPr>
        <w:t xml:space="preserve"> אחר</w:t>
      </w:r>
      <w:r w:rsidR="00FE21C8">
        <w:rPr>
          <w:rFonts w:ascii="Alef" w:hAnsi="Alef" w:cs="Alef" w:hint="cs"/>
          <w:rtl/>
        </w:rPr>
        <w:t>ים</w:t>
      </w:r>
      <w:r w:rsidR="00766713" w:rsidRPr="00903A30">
        <w:rPr>
          <w:rFonts w:ascii="Alef" w:hAnsi="Alef" w:cs="Alef"/>
          <w:rtl/>
        </w:rPr>
        <w:t xml:space="preserve"> העומד</w:t>
      </w:r>
      <w:r w:rsidR="00FE21C8">
        <w:rPr>
          <w:rFonts w:ascii="Alef" w:hAnsi="Alef" w:cs="Alef" w:hint="cs"/>
          <w:rtl/>
        </w:rPr>
        <w:t>ים</w:t>
      </w:r>
      <w:r w:rsidR="00766713" w:rsidRPr="00903A30">
        <w:rPr>
          <w:rFonts w:ascii="Alef" w:hAnsi="Alef" w:cs="Alef"/>
          <w:rtl/>
        </w:rPr>
        <w:t xml:space="preserve"> בפני יבוא</w:t>
      </w:r>
      <w:r>
        <w:rPr>
          <w:rFonts w:ascii="Alef" w:hAnsi="Alef" w:cs="Alef" w:hint="cs"/>
          <w:rtl/>
        </w:rPr>
        <w:t xml:space="preserve"> ובפרט חסמי הגנת הצומח.</w:t>
      </w:r>
      <w:r w:rsidR="00731B17">
        <w:rPr>
          <w:rFonts w:ascii="Alef" w:hAnsi="Alef" w:cs="Alef" w:hint="cs"/>
          <w:rtl/>
        </w:rPr>
        <w:t xml:space="preserve"> הסרת חסמי היבוא</w:t>
      </w:r>
      <w:r w:rsidR="00766713" w:rsidRPr="00903A30">
        <w:rPr>
          <w:rFonts w:ascii="Alef" w:hAnsi="Alef" w:cs="Alef"/>
          <w:rtl/>
        </w:rPr>
        <w:t xml:space="preserve"> צפויה, מטבע הדברים, </w:t>
      </w:r>
      <w:r w:rsidR="007D5B88">
        <w:rPr>
          <w:rFonts w:ascii="Alef" w:hAnsi="Alef" w:cs="Alef" w:hint="cs"/>
          <w:rtl/>
        </w:rPr>
        <w:t>להגדיל</w:t>
      </w:r>
      <w:r w:rsidR="00766713" w:rsidRPr="00903A30">
        <w:rPr>
          <w:rFonts w:ascii="Alef" w:hAnsi="Alef" w:cs="Alef"/>
          <w:rtl/>
        </w:rPr>
        <w:t xml:space="preserve"> את מגוון ואיכות המוצרים</w:t>
      </w:r>
      <w:r w:rsidR="00731B17">
        <w:rPr>
          <w:rFonts w:ascii="Alef" w:hAnsi="Alef" w:cs="Alef" w:hint="cs"/>
          <w:rtl/>
        </w:rPr>
        <w:t xml:space="preserve"> החקלאיים</w:t>
      </w:r>
      <w:r w:rsidR="007D5B88">
        <w:rPr>
          <w:rFonts w:ascii="Alef" w:hAnsi="Alef" w:cs="Alef" w:hint="cs"/>
          <w:rtl/>
        </w:rPr>
        <w:t xml:space="preserve"> בישראל</w:t>
      </w:r>
      <w:r w:rsidR="00731B17">
        <w:rPr>
          <w:rFonts w:ascii="Alef" w:hAnsi="Alef" w:cs="Alef" w:hint="cs"/>
          <w:rtl/>
        </w:rPr>
        <w:t>, ל</w:t>
      </w:r>
      <w:r w:rsidR="007D5B88">
        <w:rPr>
          <w:rFonts w:ascii="Alef" w:hAnsi="Alef" w:cs="Alef" w:hint="cs"/>
          <w:rtl/>
        </w:rPr>
        <w:t>שפר את ה</w:t>
      </w:r>
      <w:r w:rsidR="00731B17">
        <w:rPr>
          <w:rFonts w:ascii="Alef" w:hAnsi="Alef" w:cs="Alef" w:hint="cs"/>
          <w:rtl/>
        </w:rPr>
        <w:t>זמינות של פירות וירקות שונים במשך כל עונות השנה,</w:t>
      </w:r>
      <w:r w:rsidR="00766713" w:rsidRPr="00903A30">
        <w:rPr>
          <w:rFonts w:ascii="Alef" w:hAnsi="Alef" w:cs="Alef"/>
          <w:rtl/>
        </w:rPr>
        <w:t xml:space="preserve"> </w:t>
      </w:r>
      <w:r w:rsidR="007D5B88" w:rsidRPr="00903A30">
        <w:rPr>
          <w:rFonts w:ascii="Alef" w:hAnsi="Alef" w:cs="Alef"/>
          <w:rtl/>
        </w:rPr>
        <w:t>ו</w:t>
      </w:r>
      <w:r w:rsidR="007D5B88">
        <w:rPr>
          <w:rFonts w:ascii="Alef" w:hAnsi="Alef" w:cs="Alef" w:hint="cs"/>
          <w:rtl/>
        </w:rPr>
        <w:t xml:space="preserve">ליצור לחץ תחרותי שיתרום </w:t>
      </w:r>
      <w:r w:rsidR="00766713" w:rsidRPr="00903A30">
        <w:rPr>
          <w:rFonts w:ascii="Alef" w:hAnsi="Alef" w:cs="Alef"/>
          <w:rtl/>
        </w:rPr>
        <w:t xml:space="preserve">להתייעלות המגדלים המקומיים </w:t>
      </w:r>
      <w:r w:rsidR="007D5B88">
        <w:rPr>
          <w:rFonts w:ascii="Alef" w:hAnsi="Alef" w:cs="Alef" w:hint="cs"/>
          <w:rtl/>
        </w:rPr>
        <w:t>א</w:t>
      </w:r>
      <w:r w:rsidR="00766713" w:rsidRPr="00903A30">
        <w:rPr>
          <w:rFonts w:ascii="Alef" w:hAnsi="Alef" w:cs="Alef"/>
          <w:rtl/>
        </w:rPr>
        <w:t>ש</w:t>
      </w:r>
      <w:r w:rsidR="007D5B88">
        <w:rPr>
          <w:rFonts w:ascii="Alef" w:hAnsi="Alef" w:cs="Alef" w:hint="cs"/>
          <w:rtl/>
        </w:rPr>
        <w:t xml:space="preserve">ר </w:t>
      </w:r>
      <w:r w:rsidR="00766713" w:rsidRPr="00903A30">
        <w:rPr>
          <w:rFonts w:ascii="Alef" w:hAnsi="Alef" w:cs="Alef"/>
          <w:rtl/>
        </w:rPr>
        <w:t xml:space="preserve">יעמדו בפני תחרות מצד היבוא. </w:t>
      </w:r>
    </w:p>
    <w:p w14:paraId="283344A3" w14:textId="69282C6B" w:rsidR="007F7CF6" w:rsidRDefault="007D5B88" w:rsidP="00791548">
      <w:pPr>
        <w:pStyle w:val="2"/>
        <w:numPr>
          <w:ilvl w:val="0"/>
          <w:numId w:val="0"/>
        </w:numPr>
        <w:spacing w:line="480" w:lineRule="auto"/>
        <w:rPr>
          <w:rFonts w:ascii="Alef" w:hAnsi="Alef" w:cs="Alef"/>
          <w:rtl/>
        </w:rPr>
      </w:pPr>
      <w:r>
        <w:rPr>
          <w:rFonts w:ascii="Alef" w:hAnsi="Alef" w:cs="Alef" w:hint="cs"/>
          <w:rtl/>
        </w:rPr>
        <w:t>נוכח האמור לעיל</w:t>
      </w:r>
      <w:r w:rsidR="00766713" w:rsidRPr="00903A30">
        <w:rPr>
          <w:rFonts w:ascii="Alef" w:hAnsi="Alef" w:cs="Alef"/>
          <w:rtl/>
        </w:rPr>
        <w:t xml:space="preserve">, רשות התחרות </w:t>
      </w:r>
      <w:r>
        <w:rPr>
          <w:rFonts w:ascii="Alef" w:hAnsi="Alef" w:cs="Alef" w:hint="cs"/>
          <w:rtl/>
        </w:rPr>
        <w:t>תומכת</w:t>
      </w:r>
      <w:r w:rsidR="00766713" w:rsidRPr="00903A30">
        <w:rPr>
          <w:rFonts w:ascii="Alef" w:hAnsi="Alef" w:cs="Alef"/>
          <w:rtl/>
        </w:rPr>
        <w:t xml:space="preserve"> במהלך </w:t>
      </w:r>
      <w:r>
        <w:rPr>
          <w:rFonts w:ascii="Alef" w:hAnsi="Alef" w:cs="Alef" w:hint="cs"/>
          <w:rtl/>
        </w:rPr>
        <w:t xml:space="preserve">המוצע, </w:t>
      </w:r>
      <w:r w:rsidR="00766713" w:rsidRPr="00903A30">
        <w:rPr>
          <w:rFonts w:ascii="Alef" w:hAnsi="Alef" w:cs="Alef"/>
          <w:rtl/>
        </w:rPr>
        <w:t xml:space="preserve">במסגרתו יוסרו חסמי יבוא </w:t>
      </w:r>
      <w:r w:rsidR="00426DE4">
        <w:rPr>
          <w:rFonts w:ascii="Alef" w:hAnsi="Alef" w:cs="Alef" w:hint="cs"/>
          <w:rtl/>
        </w:rPr>
        <w:t>תוצרת חקלאית</w:t>
      </w:r>
      <w:r w:rsidR="00766713" w:rsidRPr="00903A30">
        <w:rPr>
          <w:rFonts w:ascii="Alef" w:hAnsi="Alef" w:cs="Alef"/>
          <w:rtl/>
        </w:rPr>
        <w:t xml:space="preserve"> לישראל, בין אם באמצעות הפחתת מכסים ובין אם באמצעות הסרת חסמים רגולטוריים אחרים.</w:t>
      </w:r>
      <w:r>
        <w:rPr>
          <w:rFonts w:ascii="Alef" w:hAnsi="Alef" w:cs="Alef" w:hint="cs"/>
          <w:rtl/>
        </w:rPr>
        <w:t xml:space="preserve"> רשות התחרות סבורה כי הסרת חסמי היבוא צפויה לתרום תרומה רבה לתחרות בתחומי הפירות והירקות, וכי תרומה זו צפויה להתגלגל לצרכן ולהביא לירידה במחירים הקמעונאיים ולשיפור באיכות </w:t>
      </w:r>
      <w:r w:rsidR="00841EAD">
        <w:rPr>
          <w:rFonts w:ascii="Alef" w:hAnsi="Alef" w:cs="Alef" w:hint="cs"/>
          <w:rtl/>
        </w:rPr>
        <w:t xml:space="preserve">ובמגוון </w:t>
      </w:r>
      <w:r>
        <w:rPr>
          <w:rFonts w:ascii="Alef" w:hAnsi="Alef" w:cs="Alef" w:hint="cs"/>
          <w:rtl/>
        </w:rPr>
        <w:t xml:space="preserve">של הירקות והפירות </w:t>
      </w:r>
      <w:r w:rsidR="00841EAD">
        <w:rPr>
          <w:rFonts w:ascii="Alef" w:hAnsi="Alef" w:cs="Alef" w:hint="cs"/>
          <w:rtl/>
        </w:rPr>
        <w:t>שהוא רוכש.</w:t>
      </w:r>
    </w:p>
    <w:p w14:paraId="51DCD7C3" w14:textId="3BA45277" w:rsidR="00766713" w:rsidRPr="00903A30" w:rsidRDefault="00A649DA" w:rsidP="00333210">
      <w:pPr>
        <w:pStyle w:val="2"/>
        <w:numPr>
          <w:ilvl w:val="0"/>
          <w:numId w:val="6"/>
        </w:numPr>
        <w:spacing w:line="480" w:lineRule="auto"/>
        <w:rPr>
          <w:rFonts w:ascii="Alef" w:hAnsi="Alef" w:cs="Alef"/>
          <w:b/>
          <w:bCs/>
          <w:sz w:val="28"/>
          <w:szCs w:val="28"/>
          <w:u w:val="single"/>
        </w:rPr>
      </w:pPr>
      <w:r>
        <w:rPr>
          <w:rFonts w:ascii="Alef" w:hAnsi="Alef" w:cs="Alef" w:hint="cs"/>
          <w:b/>
          <w:bCs/>
          <w:sz w:val="28"/>
          <w:szCs w:val="28"/>
          <w:u w:val="single"/>
          <w:rtl/>
        </w:rPr>
        <w:t>תכנית רוחבית לפתיחת המשק הישראלי ליבוא</w:t>
      </w:r>
      <w:r w:rsidR="00523ACB">
        <w:rPr>
          <w:rFonts w:ascii="Alef" w:hAnsi="Alef" w:cs="Alef" w:hint="cs"/>
          <w:b/>
          <w:bCs/>
          <w:sz w:val="28"/>
          <w:szCs w:val="28"/>
          <w:u w:val="single"/>
          <w:rtl/>
        </w:rPr>
        <w:t xml:space="preserve"> והפחתת יוקר המחיה</w:t>
      </w:r>
    </w:p>
    <w:p w14:paraId="204E36AC" w14:textId="5C310E37" w:rsidR="00655549" w:rsidRDefault="00766713" w:rsidP="00791548">
      <w:pPr>
        <w:pStyle w:val="2"/>
        <w:numPr>
          <w:ilvl w:val="0"/>
          <w:numId w:val="0"/>
        </w:numPr>
        <w:spacing w:line="480" w:lineRule="auto"/>
        <w:rPr>
          <w:rFonts w:ascii="Alef" w:hAnsi="Alef" w:cs="Alef"/>
          <w:rtl/>
        </w:rPr>
      </w:pPr>
      <w:r w:rsidRPr="00903A30">
        <w:rPr>
          <w:rFonts w:ascii="Alef" w:hAnsi="Alef" w:cs="Alef"/>
          <w:rtl/>
        </w:rPr>
        <w:t xml:space="preserve">טיוטת התכנית הכלכלית </w:t>
      </w:r>
      <w:r w:rsidR="00F47E74">
        <w:rPr>
          <w:rFonts w:ascii="Alef" w:hAnsi="Alef" w:cs="Alef" w:hint="cs"/>
          <w:rtl/>
        </w:rPr>
        <w:t>מבקש</w:t>
      </w:r>
      <w:r w:rsidR="00FE21C8">
        <w:rPr>
          <w:rFonts w:ascii="Alef" w:hAnsi="Alef" w:cs="Alef" w:hint="cs"/>
          <w:rtl/>
        </w:rPr>
        <w:t>ת</w:t>
      </w:r>
      <w:r w:rsidR="00F47E74">
        <w:rPr>
          <w:rFonts w:ascii="Alef" w:hAnsi="Alef" w:cs="Alef" w:hint="cs"/>
          <w:rtl/>
        </w:rPr>
        <w:t xml:space="preserve"> לעשות שינוי יסודי ומבורך, באופן בו ניתן לי</w:t>
      </w:r>
      <w:r w:rsidR="00FE21C8">
        <w:rPr>
          <w:rFonts w:ascii="Alef" w:hAnsi="Alef" w:cs="Alef" w:hint="cs"/>
          <w:rtl/>
        </w:rPr>
        <w:t>י</w:t>
      </w:r>
      <w:r w:rsidR="00F47E74">
        <w:rPr>
          <w:rFonts w:ascii="Alef" w:hAnsi="Alef" w:cs="Alef" w:hint="cs"/>
          <w:rtl/>
        </w:rPr>
        <w:t xml:space="preserve">בא מוצרים לישראל וזאת במטרה להקל על יבוא מוצרים לישראל </w:t>
      </w:r>
      <w:r w:rsidR="00006A78">
        <w:rPr>
          <w:rFonts w:ascii="Alef" w:hAnsi="Alef" w:cs="Alef" w:hint="cs"/>
          <w:rtl/>
        </w:rPr>
        <w:t>ולהגד</w:t>
      </w:r>
      <w:r w:rsidR="00FE21C8">
        <w:rPr>
          <w:rFonts w:ascii="Alef" w:hAnsi="Alef" w:cs="Alef" w:hint="cs"/>
          <w:rtl/>
        </w:rPr>
        <w:t>י</w:t>
      </w:r>
      <w:r w:rsidR="00006A78">
        <w:rPr>
          <w:rFonts w:ascii="Alef" w:hAnsi="Alef" w:cs="Alef" w:hint="cs"/>
          <w:rtl/>
        </w:rPr>
        <w:t xml:space="preserve">ל </w:t>
      </w:r>
      <w:r w:rsidR="00FE21C8">
        <w:rPr>
          <w:rFonts w:ascii="Alef" w:hAnsi="Alef" w:cs="Alef" w:hint="cs"/>
          <w:rtl/>
        </w:rPr>
        <w:t xml:space="preserve">את </w:t>
      </w:r>
      <w:r w:rsidR="00006A78">
        <w:rPr>
          <w:rFonts w:ascii="Alef" w:hAnsi="Alef" w:cs="Alef" w:hint="cs"/>
          <w:rtl/>
        </w:rPr>
        <w:t>היצע הספקים והמוצרים.</w:t>
      </w:r>
      <w:r w:rsidR="00655549" w:rsidRPr="00655549">
        <w:rPr>
          <w:rFonts w:ascii="Alef" w:hAnsi="Alef" w:cs="Alef" w:hint="cs"/>
          <w:rtl/>
        </w:rPr>
        <w:t xml:space="preserve"> </w:t>
      </w:r>
    </w:p>
    <w:p w14:paraId="73942E5C" w14:textId="77777777" w:rsidR="00333210" w:rsidRPr="00333210" w:rsidRDefault="00333210" w:rsidP="00791548">
      <w:pPr>
        <w:pStyle w:val="2"/>
        <w:numPr>
          <w:ilvl w:val="0"/>
          <w:numId w:val="0"/>
        </w:numPr>
        <w:spacing w:line="480" w:lineRule="auto"/>
        <w:rPr>
          <w:rFonts w:ascii="Alef" w:hAnsi="Alef" w:cs="Alef"/>
          <w:b/>
          <w:bCs/>
          <w:sz w:val="28"/>
          <w:szCs w:val="28"/>
          <w:rtl/>
        </w:rPr>
      </w:pPr>
      <w:r w:rsidRPr="00333210">
        <w:rPr>
          <w:rFonts w:ascii="Alef" w:hAnsi="Alef" w:cs="Alef" w:hint="cs"/>
          <w:b/>
          <w:bCs/>
          <w:sz w:val="28"/>
          <w:szCs w:val="28"/>
          <w:rtl/>
        </w:rPr>
        <w:t xml:space="preserve">ב.1 </w:t>
      </w:r>
      <w:r w:rsidRPr="00333210">
        <w:rPr>
          <w:rFonts w:ascii="Alef" w:hAnsi="Alef" w:cs="Alef"/>
          <w:b/>
          <w:bCs/>
          <w:sz w:val="28"/>
          <w:szCs w:val="28"/>
          <w:rtl/>
        </w:rPr>
        <w:t>הסדרת שיטת הייבוא לישראל</w:t>
      </w:r>
    </w:p>
    <w:p w14:paraId="16C38360" w14:textId="77777777" w:rsidR="00CF2319" w:rsidRDefault="00CF2319" w:rsidP="00791548">
      <w:pPr>
        <w:pStyle w:val="2"/>
        <w:numPr>
          <w:ilvl w:val="0"/>
          <w:numId w:val="0"/>
        </w:numPr>
        <w:spacing w:line="480" w:lineRule="auto"/>
        <w:rPr>
          <w:rFonts w:ascii="Alef" w:hAnsi="Alef" w:cs="Alef"/>
          <w:rtl/>
        </w:rPr>
      </w:pPr>
      <w:r>
        <w:rPr>
          <w:rFonts w:ascii="Alef" w:hAnsi="Alef" w:cs="Alef" w:hint="cs"/>
          <w:rtl/>
        </w:rPr>
        <w:t xml:space="preserve">יבוא מוצרים לישראל כיום דורש לרוב קבלת רישיון ליבוא המוצרים ולעיתים קרובות דרישות המאסדר הרלוונטי לייבוא אותו מוצר (ולעיתים מדובר ביותר ממאסדר אחר) מציב דרישות שחורגות מן המקובל במדינות המפותחות. </w:t>
      </w:r>
      <w:r w:rsidR="002F78DF">
        <w:rPr>
          <w:rFonts w:ascii="Alef" w:hAnsi="Alef" w:cs="Alef" w:hint="cs"/>
          <w:rtl/>
        </w:rPr>
        <w:t>משטר הרישוי מראש ביחד עם דרישות ייחודיות לישראל עשויות לפגוע בכדאיות היבוא ויש בהן כדי להרתיע כניסה של יבואנים חדשים.</w:t>
      </w:r>
    </w:p>
    <w:p w14:paraId="6CB06FE6" w14:textId="6796BC12" w:rsidR="00766713" w:rsidRDefault="00006A78" w:rsidP="00791548">
      <w:pPr>
        <w:pStyle w:val="2"/>
        <w:numPr>
          <w:ilvl w:val="0"/>
          <w:numId w:val="0"/>
        </w:numPr>
        <w:spacing w:line="480" w:lineRule="auto"/>
        <w:rPr>
          <w:rFonts w:ascii="Alef" w:hAnsi="Alef" w:cs="Alef"/>
          <w:rtl/>
        </w:rPr>
      </w:pPr>
      <w:r>
        <w:rPr>
          <w:rFonts w:ascii="Alef" w:hAnsi="Alef" w:cs="Alef" w:hint="cs"/>
          <w:rtl/>
        </w:rPr>
        <w:lastRenderedPageBreak/>
        <w:t>תכנית חשיפת י</w:t>
      </w:r>
      <w:r w:rsidR="00CF2319">
        <w:rPr>
          <w:rFonts w:ascii="Alef" w:hAnsi="Alef" w:cs="Alef" w:hint="cs"/>
          <w:rtl/>
        </w:rPr>
        <w:t xml:space="preserve">שראל ליבוא </w:t>
      </w:r>
      <w:r w:rsidR="00A073C3">
        <w:rPr>
          <w:rFonts w:ascii="Alef" w:hAnsi="Alef" w:cs="Alef" w:hint="cs"/>
          <w:rtl/>
        </w:rPr>
        <w:t xml:space="preserve">קובעת מסלולי יבוא נוספים למסלול הנוהג כיום: </w:t>
      </w:r>
      <w:r w:rsidR="00A073C3" w:rsidRPr="00A073C3">
        <w:rPr>
          <w:rFonts w:ascii="Alef" w:hAnsi="Alef" w:cs="Alef"/>
          <w:rtl/>
        </w:rPr>
        <w:t>יבוא על בסיס עמ</w:t>
      </w:r>
      <w:r w:rsidR="00A073C3">
        <w:rPr>
          <w:rFonts w:ascii="Alef" w:hAnsi="Alef" w:cs="Alef"/>
          <w:rtl/>
        </w:rPr>
        <w:t>ידה ברגולציה של האיחוד האירופי</w:t>
      </w:r>
      <w:r w:rsidR="00A073C3">
        <w:rPr>
          <w:rFonts w:ascii="Alef" w:hAnsi="Alef" w:cs="Alef" w:hint="cs"/>
          <w:rtl/>
        </w:rPr>
        <w:t xml:space="preserve"> ויבוא </w:t>
      </w:r>
      <w:r w:rsidR="00A073C3" w:rsidRPr="00A073C3">
        <w:rPr>
          <w:rFonts w:ascii="Alef" w:hAnsi="Alef" w:cs="Alef"/>
          <w:rtl/>
        </w:rPr>
        <w:t>על בסיס התאמה למוצר יחוס המשווק בישראל</w:t>
      </w:r>
      <w:r w:rsidR="00345523">
        <w:rPr>
          <w:rFonts w:ascii="Alef" w:hAnsi="Alef" w:cs="Alef" w:hint="cs"/>
          <w:rtl/>
        </w:rPr>
        <w:t xml:space="preserve">. כל זאת </w:t>
      </w:r>
      <w:r w:rsidR="00ED0368">
        <w:rPr>
          <w:rFonts w:ascii="Alef" w:hAnsi="Alef" w:cs="Alef" w:hint="cs"/>
          <w:rtl/>
        </w:rPr>
        <w:t xml:space="preserve">בכפוף לרשימת </w:t>
      </w:r>
      <w:r w:rsidR="00345523">
        <w:rPr>
          <w:rFonts w:ascii="Alef" w:hAnsi="Alef" w:cs="Alef" w:hint="cs"/>
          <w:rtl/>
        </w:rPr>
        <w:t xml:space="preserve">מוצרים </w:t>
      </w:r>
      <w:r w:rsidR="00ED0368">
        <w:rPr>
          <w:rFonts w:ascii="Alef" w:hAnsi="Alef" w:cs="Alef" w:hint="cs"/>
          <w:rtl/>
        </w:rPr>
        <w:t>שהוחרגו מן המסלולים האמורים:</w:t>
      </w:r>
      <w:r w:rsidR="00345523">
        <w:rPr>
          <w:rFonts w:ascii="Alef" w:hAnsi="Alef" w:cs="Alef" w:hint="cs"/>
          <w:rtl/>
        </w:rPr>
        <w:t xml:space="preserve"> </w:t>
      </w:r>
      <w:r w:rsidR="00ED0368">
        <w:rPr>
          <w:rFonts w:ascii="Alef" w:hAnsi="Alef" w:cs="Alef" w:hint="cs"/>
          <w:rtl/>
        </w:rPr>
        <w:t>לדוגמא</w:t>
      </w:r>
      <w:r w:rsidR="00345523">
        <w:rPr>
          <w:rFonts w:ascii="Alef" w:hAnsi="Alef" w:cs="Alef" w:hint="cs"/>
          <w:rtl/>
        </w:rPr>
        <w:t xml:space="preserve"> </w:t>
      </w:r>
      <w:proofErr w:type="spellStart"/>
      <w:r w:rsidR="00345523">
        <w:rPr>
          <w:rFonts w:ascii="Alef" w:hAnsi="Alef" w:cs="Alef" w:hint="cs"/>
          <w:rtl/>
        </w:rPr>
        <w:t>תמ"ל</w:t>
      </w:r>
      <w:proofErr w:type="spellEnd"/>
      <w:r w:rsidR="00345523">
        <w:rPr>
          <w:rFonts w:ascii="Alef" w:hAnsi="Alef" w:cs="Alef" w:hint="cs"/>
          <w:rtl/>
        </w:rPr>
        <w:t xml:space="preserve">, </w:t>
      </w:r>
      <w:r w:rsidR="00345523" w:rsidRPr="00844FA8">
        <w:rPr>
          <w:rFonts w:ascii="Alef" w:hAnsi="Alef" w:cs="Alef" w:hint="cs"/>
          <w:rtl/>
        </w:rPr>
        <w:t>בשר, דגים</w:t>
      </w:r>
      <w:r w:rsidR="00013CD7">
        <w:rPr>
          <w:rFonts w:ascii="Alef" w:hAnsi="Alef" w:cs="Alef" w:hint="cs"/>
          <w:rtl/>
        </w:rPr>
        <w:t>,</w:t>
      </w:r>
      <w:r w:rsidR="00345523" w:rsidRPr="00844FA8">
        <w:rPr>
          <w:rFonts w:ascii="Alef" w:hAnsi="Alef" w:cs="Alef" w:hint="cs"/>
          <w:rtl/>
        </w:rPr>
        <w:t xml:space="preserve"> מזון ייעודי, ויטמינים ועוד. </w:t>
      </w:r>
      <w:r w:rsidR="00766713" w:rsidRPr="00844FA8">
        <w:rPr>
          <w:rFonts w:ascii="Alef" w:hAnsi="Alef" w:cs="Alef"/>
          <w:rtl/>
        </w:rPr>
        <w:t xml:space="preserve">כפי שיוסבר להלן, הכוונה להגביר את התחרות באמצעות הקלה על יבוא </w:t>
      </w:r>
      <w:r w:rsidR="00013CD7">
        <w:rPr>
          <w:rFonts w:ascii="Alef" w:hAnsi="Alef" w:cs="Alef" w:hint="cs"/>
          <w:rtl/>
        </w:rPr>
        <w:t xml:space="preserve">היא </w:t>
      </w:r>
      <w:r w:rsidR="00766713" w:rsidRPr="00844FA8">
        <w:rPr>
          <w:rFonts w:ascii="Alef" w:hAnsi="Alef" w:cs="Alef"/>
          <w:rtl/>
        </w:rPr>
        <w:t>מבורכת</w:t>
      </w:r>
      <w:r w:rsidR="0042084F">
        <w:rPr>
          <w:rFonts w:ascii="Alef" w:hAnsi="Alef" w:cs="Alef" w:hint="cs"/>
          <w:rtl/>
        </w:rPr>
        <w:t>. אנו סבורים ש</w:t>
      </w:r>
      <w:r w:rsidR="00766713" w:rsidRPr="00844FA8">
        <w:rPr>
          <w:rFonts w:ascii="Alef" w:hAnsi="Alef" w:cs="Alef"/>
          <w:rtl/>
        </w:rPr>
        <w:t>יש להקפיד, אגב הסרת חסמים העומדים בפני יבוא, שגם שחקנים קטנים וחדשים יוכלו ליהנות מפירות הרפורמה.</w:t>
      </w:r>
      <w:r w:rsidR="00766713" w:rsidRPr="00903A30">
        <w:rPr>
          <w:rFonts w:ascii="Alef" w:hAnsi="Alef" w:cs="Alef"/>
          <w:rtl/>
        </w:rPr>
        <w:t xml:space="preserve"> </w:t>
      </w:r>
    </w:p>
    <w:p w14:paraId="47C1CDC1" w14:textId="3BC62EE0" w:rsidR="00942275" w:rsidRDefault="00ED0368" w:rsidP="001F0EF9">
      <w:pPr>
        <w:pStyle w:val="2"/>
        <w:numPr>
          <w:ilvl w:val="0"/>
          <w:numId w:val="0"/>
        </w:numPr>
        <w:spacing w:line="480" w:lineRule="auto"/>
        <w:ind w:left="-58"/>
        <w:rPr>
          <w:rFonts w:ascii="Alef" w:hAnsi="Alef" w:cs="Alef"/>
          <w:rtl/>
        </w:rPr>
      </w:pPr>
      <w:r>
        <w:rPr>
          <w:rFonts w:ascii="Alef" w:hAnsi="Alef" w:cs="Alef" w:hint="cs"/>
          <w:rtl/>
        </w:rPr>
        <w:t xml:space="preserve">המונח מוצר הוגדר באופן רחב כך שהרפורמה מתייחסת למוצרים במגוון תחומים דוגמת מכשירים חשמליים, מוצרי מזון, תמרוקים, מכשירי אלחוט ועוד. חלק מאותם תחומים אליהם נוגעת הרפורמה </w:t>
      </w:r>
      <w:r w:rsidR="00942275">
        <w:rPr>
          <w:rFonts w:ascii="Alef" w:hAnsi="Alef" w:cs="Alef" w:hint="cs"/>
          <w:rtl/>
        </w:rPr>
        <w:t>- דוגמת מזון</w:t>
      </w:r>
      <w:r w:rsidR="001975D7">
        <w:rPr>
          <w:rFonts w:ascii="Alef" w:hAnsi="Alef" w:cs="Alef" w:hint="cs"/>
          <w:rtl/>
        </w:rPr>
        <w:t xml:space="preserve"> (הנשלט על ידי יצרנים מקומיים)</w:t>
      </w:r>
      <w:r w:rsidR="00942275">
        <w:rPr>
          <w:rFonts w:ascii="Alef" w:hAnsi="Alef" w:cs="Alef" w:hint="cs"/>
          <w:rtl/>
        </w:rPr>
        <w:t xml:space="preserve"> ותמרוקים - </w:t>
      </w:r>
      <w:r w:rsidR="0042084F">
        <w:rPr>
          <w:rFonts w:ascii="Alef" w:hAnsi="Alef" w:cs="Alef" w:hint="cs"/>
          <w:rtl/>
        </w:rPr>
        <w:t xml:space="preserve">ידועים כריכוזיים במיוחד </w:t>
      </w:r>
      <w:r>
        <w:rPr>
          <w:rFonts w:ascii="Alef" w:hAnsi="Alef" w:cs="Alef" w:hint="cs"/>
          <w:rtl/>
        </w:rPr>
        <w:t>ונודעת בהם חשיבות יתרה להגברת התחרות</w:t>
      </w:r>
      <w:r w:rsidR="00942275">
        <w:rPr>
          <w:rFonts w:ascii="Alef" w:hAnsi="Alef" w:cs="Alef" w:hint="cs"/>
          <w:rtl/>
        </w:rPr>
        <w:t xml:space="preserve">, בין היתר באמצעות </w:t>
      </w:r>
      <w:r w:rsidR="00942275" w:rsidRPr="00903A30">
        <w:rPr>
          <w:rFonts w:ascii="Alef" w:hAnsi="Alef" w:cs="Alef"/>
          <w:rtl/>
          <w:lang w:eastAsia="he-IL"/>
        </w:rPr>
        <w:t>עידוד והקלה על כניסת שחקנים חדשים</w:t>
      </w:r>
      <w:r>
        <w:rPr>
          <w:rFonts w:ascii="Alef" w:hAnsi="Alef" w:cs="Alef" w:hint="cs"/>
          <w:rtl/>
        </w:rPr>
        <w:t xml:space="preserve">. </w:t>
      </w:r>
    </w:p>
    <w:p w14:paraId="70FF410C" w14:textId="36B550F1" w:rsidR="00766713" w:rsidRDefault="00766713" w:rsidP="00844FA8">
      <w:pPr>
        <w:pStyle w:val="2"/>
        <w:numPr>
          <w:ilvl w:val="0"/>
          <w:numId w:val="0"/>
        </w:numPr>
        <w:spacing w:line="480" w:lineRule="auto"/>
        <w:rPr>
          <w:rFonts w:ascii="Alef" w:hAnsi="Alef" w:cs="Alef"/>
          <w:rtl/>
        </w:rPr>
      </w:pPr>
      <w:r w:rsidRPr="00903A30">
        <w:rPr>
          <w:rFonts w:ascii="Alef" w:hAnsi="Alef" w:cs="Alef"/>
          <w:rtl/>
        </w:rPr>
        <w:t>כך</w:t>
      </w:r>
      <w:r w:rsidR="00C81568">
        <w:rPr>
          <w:rFonts w:ascii="Alef" w:hAnsi="Alef" w:cs="Alef" w:hint="cs"/>
          <w:rtl/>
        </w:rPr>
        <w:t>, נכון לשנת 2015,</w:t>
      </w:r>
      <w:r w:rsidR="00942275">
        <w:rPr>
          <w:rFonts w:ascii="Alef" w:hAnsi="Alef" w:cs="Alef" w:hint="cs"/>
          <w:rtl/>
        </w:rPr>
        <w:t xml:space="preserve"> </w:t>
      </w:r>
      <w:proofErr w:type="spellStart"/>
      <w:r w:rsidRPr="00903A30">
        <w:rPr>
          <w:rFonts w:ascii="Alef" w:hAnsi="Alef" w:cs="Alef"/>
          <w:rtl/>
        </w:rPr>
        <w:t>בכמחצית</w:t>
      </w:r>
      <w:proofErr w:type="spellEnd"/>
      <w:r w:rsidRPr="00903A30">
        <w:rPr>
          <w:rFonts w:ascii="Alef" w:hAnsi="Alef" w:cs="Alef"/>
          <w:rtl/>
        </w:rPr>
        <w:t xml:space="preserve"> מן הקטגוריות בתחום המזון והתמרוקים </w:t>
      </w:r>
      <w:r w:rsidRPr="006A3E53">
        <w:rPr>
          <w:rFonts w:ascii="Alef" w:hAnsi="Alef" w:cs="Alef"/>
          <w:b/>
          <w:bCs/>
          <w:rtl/>
        </w:rPr>
        <w:t>שני המתחרים הגדולים</w:t>
      </w:r>
      <w:r w:rsidRPr="00903A30">
        <w:rPr>
          <w:rFonts w:ascii="Alef" w:hAnsi="Alef" w:cs="Alef"/>
          <w:rtl/>
        </w:rPr>
        <w:t xml:space="preserve"> חולקים ביניהם 75% או יותר מהיקף המכר בקטגוריה (ראו תרשים 1). </w:t>
      </w:r>
    </w:p>
    <w:p w14:paraId="0B6F64B2" w14:textId="3725DF9C" w:rsidR="00766713" w:rsidRPr="005F2F6F" w:rsidRDefault="00766713" w:rsidP="00F44555">
      <w:pPr>
        <w:jc w:val="center"/>
        <w:rPr>
          <w:rFonts w:ascii="Alef" w:hAnsi="Alef" w:cs="Alef"/>
          <w:b/>
          <w:bCs/>
          <w:rtl/>
        </w:rPr>
      </w:pPr>
      <w:r w:rsidRPr="005F2F6F">
        <w:rPr>
          <w:rFonts w:ascii="Alef" w:hAnsi="Alef" w:cs="Alef"/>
          <w:b/>
          <w:bCs/>
          <w:rtl/>
        </w:rPr>
        <w:t xml:space="preserve">תרשים </w:t>
      </w:r>
      <w:r w:rsidR="00DB5D9E">
        <w:rPr>
          <w:rFonts w:ascii="Alef" w:hAnsi="Alef" w:cs="Alef" w:hint="cs"/>
          <w:b/>
          <w:bCs/>
          <w:rtl/>
        </w:rPr>
        <w:t>3</w:t>
      </w:r>
      <w:r w:rsidRPr="005F2F6F">
        <w:rPr>
          <w:rFonts w:ascii="Alef" w:hAnsi="Alef" w:cs="Alef"/>
          <w:b/>
          <w:bCs/>
          <w:rtl/>
        </w:rPr>
        <w:t xml:space="preserve">: מדד </w:t>
      </w:r>
      <w:r w:rsidRPr="005F2F6F">
        <w:rPr>
          <w:rFonts w:ascii="Alef" w:hAnsi="Alef" w:cs="Alef"/>
          <w:b/>
          <w:bCs/>
        </w:rPr>
        <w:t>CR2</w:t>
      </w:r>
      <w:r w:rsidRPr="005F2F6F">
        <w:rPr>
          <w:rFonts w:ascii="Alef" w:hAnsi="Alef" w:cs="Alef"/>
          <w:b/>
          <w:bCs/>
          <w:rtl/>
        </w:rPr>
        <w:t xml:space="preserve"> בתחום המזון ב-2015, לפי קטגוריות מוצר</w:t>
      </w:r>
    </w:p>
    <w:p w14:paraId="4B76B38A" w14:textId="77777777" w:rsidR="00766713" w:rsidRPr="00903A30" w:rsidRDefault="00766713" w:rsidP="00766713">
      <w:pPr>
        <w:jc w:val="center"/>
        <w:rPr>
          <w:rFonts w:ascii="Alef" w:hAnsi="Alef" w:cs="Alef"/>
        </w:rPr>
      </w:pPr>
      <w:r w:rsidRPr="00903A30">
        <w:rPr>
          <w:rFonts w:ascii="Alef" w:hAnsi="Alef" w:cs="Alef"/>
          <w:noProof/>
        </w:rPr>
        <w:drawing>
          <wp:inline distT="0" distB="0" distL="0" distR="0" wp14:anchorId="7A82F4A5" wp14:editId="0CF05289">
            <wp:extent cx="4592137" cy="2012263"/>
            <wp:effectExtent l="0" t="0" r="0" b="7620"/>
            <wp:docPr id="1026"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Grp="1" noChangeAspect="1" noChangeArrowheads="1"/>
                    </pic:cNvPicPr>
                  </pic:nvPicPr>
                  <pic:blipFill rotWithShape="1">
                    <a:blip r:embed="rId13">
                      <a:extLst>
                        <a:ext uri="{BEBA8EAE-BF5A-486C-A8C5-ECC9F3942E4B}">
                          <a14:imgProps xmlns:a14="http://schemas.microsoft.com/office/drawing/2010/main">
                            <a14:imgLayer r:embed="rId14">
                              <a14:imgEffect>
                                <a14:sharpenSoften amount="28000"/>
                              </a14:imgEffect>
                            </a14:imgLayer>
                          </a14:imgProps>
                        </a:ext>
                        <a:ext uri="{28A0092B-C50C-407E-A947-70E740481C1C}">
                          <a14:useLocalDpi xmlns:a14="http://schemas.microsoft.com/office/drawing/2010/main" val="0"/>
                        </a:ext>
                      </a:extLst>
                    </a:blip>
                    <a:srcRect t="7500"/>
                    <a:stretch/>
                  </pic:blipFill>
                  <pic:spPr bwMode="auto">
                    <a:xfrm>
                      <a:off x="0" y="0"/>
                      <a:ext cx="4592137" cy="2012263"/>
                    </a:xfrm>
                    <a:prstGeom prst="rect">
                      <a:avLst/>
                    </a:prstGeom>
                    <a:noFill/>
                    <a:ln>
                      <a:noFill/>
                    </a:ln>
                    <a:extLst>
                      <a:ext uri="{53640926-AAD7-44D8-BBD7-CCE9431645EC}">
                        <a14:shadowObscured xmlns:a14="http://schemas.microsoft.com/office/drawing/2010/main"/>
                      </a:ext>
                    </a:extLst>
                  </pic:spPr>
                </pic:pic>
              </a:graphicData>
            </a:graphic>
          </wp:inline>
        </w:drawing>
      </w:r>
    </w:p>
    <w:p w14:paraId="23D29BC9" w14:textId="77777777" w:rsidR="00766713" w:rsidRPr="00903A30" w:rsidRDefault="00766713" w:rsidP="00766713">
      <w:pPr>
        <w:rPr>
          <w:rFonts w:ascii="Alef" w:hAnsi="Alef" w:cs="Alef"/>
          <w:sz w:val="18"/>
          <w:szCs w:val="18"/>
          <w:rtl/>
        </w:rPr>
      </w:pPr>
      <w:r w:rsidRPr="00903A30">
        <w:rPr>
          <w:rFonts w:ascii="Alef" w:hAnsi="Alef" w:cs="Alef"/>
          <w:sz w:val="18"/>
          <w:szCs w:val="18"/>
          <w:rtl/>
        </w:rPr>
        <w:t xml:space="preserve">מקור: </w:t>
      </w:r>
      <w:proofErr w:type="spellStart"/>
      <w:r w:rsidRPr="00903A30">
        <w:rPr>
          <w:rFonts w:ascii="Alef" w:hAnsi="Alef" w:cs="Alef"/>
          <w:sz w:val="18"/>
          <w:szCs w:val="18"/>
          <w:rtl/>
        </w:rPr>
        <w:t>נילסן</w:t>
      </w:r>
      <w:proofErr w:type="spellEnd"/>
      <w:r w:rsidRPr="00903A30">
        <w:rPr>
          <w:rFonts w:ascii="Alef" w:hAnsi="Alef" w:cs="Alef"/>
          <w:sz w:val="18"/>
          <w:szCs w:val="18"/>
          <w:rtl/>
        </w:rPr>
        <w:t xml:space="preserve">, עיבודי הכלכלן הראשי במשרד האוצר, מתוך: </w:t>
      </w:r>
      <w:hyperlink r:id="rId15" w:history="1">
        <w:r w:rsidRPr="00903A30">
          <w:rPr>
            <w:rStyle w:val="Hyperlink"/>
            <w:rFonts w:ascii="Alef" w:hAnsi="Alef" w:cs="Alef"/>
            <w:sz w:val="18"/>
            <w:szCs w:val="18"/>
            <w:rtl/>
          </w:rPr>
          <w:t>סקירה כלכלית שבועית</w:t>
        </w:r>
      </w:hyperlink>
      <w:r w:rsidRPr="00903A30">
        <w:rPr>
          <w:rFonts w:ascii="Alef" w:hAnsi="Alef" w:cs="Alef"/>
          <w:sz w:val="18"/>
          <w:szCs w:val="18"/>
          <w:rtl/>
        </w:rPr>
        <w:t>, אגף הכלכלן הראשי במשרד האוצר, 27.3.2016</w:t>
      </w:r>
    </w:p>
    <w:p w14:paraId="25DCFD52" w14:textId="77777777" w:rsidR="00457136" w:rsidRDefault="00457136" w:rsidP="00791548">
      <w:pPr>
        <w:pStyle w:val="2"/>
        <w:numPr>
          <w:ilvl w:val="0"/>
          <w:numId w:val="0"/>
        </w:numPr>
        <w:spacing w:line="480" w:lineRule="auto"/>
        <w:rPr>
          <w:rFonts w:ascii="Alef" w:hAnsi="Alef" w:cs="Alef"/>
          <w:rtl/>
        </w:rPr>
      </w:pPr>
    </w:p>
    <w:p w14:paraId="0F114EA7" w14:textId="4E6035E3" w:rsidR="00457136" w:rsidRDefault="003E58B0" w:rsidP="00E056A5">
      <w:pPr>
        <w:pStyle w:val="2"/>
        <w:numPr>
          <w:ilvl w:val="0"/>
          <w:numId w:val="0"/>
        </w:numPr>
        <w:spacing w:after="0" w:line="480" w:lineRule="auto"/>
        <w:rPr>
          <w:rFonts w:ascii="Alef" w:hAnsi="Alef" w:cs="Alef"/>
          <w:rtl/>
        </w:rPr>
      </w:pPr>
      <w:r>
        <w:rPr>
          <w:rFonts w:ascii="Alef" w:hAnsi="Alef" w:cs="Alef" w:hint="cs"/>
          <w:rtl/>
        </w:rPr>
        <w:lastRenderedPageBreak/>
        <w:t xml:space="preserve">בחינה עדכנית שערכנו על קטגוריות גדולות בתחום הטואלטיקה </w:t>
      </w:r>
      <w:r w:rsidR="00572A3C">
        <w:rPr>
          <w:rFonts w:ascii="Alef" w:hAnsi="Alef" w:cs="Alef" w:hint="cs"/>
          <w:rtl/>
        </w:rPr>
        <w:t>(שהיקף המכר המצרפי בהן בשנת 2020 מוערך בכ-</w:t>
      </w:r>
      <w:r w:rsidR="00E056A5">
        <w:rPr>
          <w:rFonts w:ascii="Alef" w:hAnsi="Alef" w:cs="Alef" w:hint="cs"/>
          <w:rtl/>
        </w:rPr>
        <w:t>4</w:t>
      </w:r>
      <w:r w:rsidR="00C81568">
        <w:rPr>
          <w:rFonts w:ascii="Alef" w:hAnsi="Alef" w:cs="Alef" w:hint="cs"/>
          <w:rtl/>
        </w:rPr>
        <w:t xml:space="preserve"> </w:t>
      </w:r>
      <w:r w:rsidR="00572A3C">
        <w:rPr>
          <w:rFonts w:ascii="Alef" w:hAnsi="Alef" w:cs="Alef" w:hint="cs"/>
          <w:rtl/>
        </w:rPr>
        <w:t>מ</w:t>
      </w:r>
      <w:r w:rsidR="00E056A5">
        <w:rPr>
          <w:rFonts w:ascii="Alef" w:hAnsi="Alef" w:cs="Alef" w:hint="cs"/>
          <w:rtl/>
        </w:rPr>
        <w:t>י</w:t>
      </w:r>
      <w:r w:rsidR="00572A3C">
        <w:rPr>
          <w:rFonts w:ascii="Alef" w:hAnsi="Alef" w:cs="Alef" w:hint="cs"/>
          <w:rtl/>
        </w:rPr>
        <w:t>ליארד ₪</w:t>
      </w:r>
      <w:r w:rsidR="00E056A5">
        <w:rPr>
          <w:rFonts w:ascii="Alef" w:hAnsi="Alef" w:cs="Alef" w:hint="cs"/>
          <w:rtl/>
        </w:rPr>
        <w:t xml:space="preserve"> ברשתות המזון בלבד</w:t>
      </w:r>
      <w:r w:rsidR="00572A3C">
        <w:rPr>
          <w:rFonts w:ascii="Alef" w:hAnsi="Alef" w:cs="Alef" w:hint="cs"/>
          <w:rtl/>
        </w:rPr>
        <w:t xml:space="preserve">), </w:t>
      </w:r>
      <w:r>
        <w:rPr>
          <w:rFonts w:ascii="Alef" w:hAnsi="Alef" w:cs="Alef" w:hint="cs"/>
          <w:rtl/>
        </w:rPr>
        <w:t xml:space="preserve">מעלה </w:t>
      </w:r>
      <w:r w:rsidR="00572A3C">
        <w:rPr>
          <w:rFonts w:ascii="Alef" w:hAnsi="Alef" w:cs="Alef" w:hint="cs"/>
          <w:rtl/>
        </w:rPr>
        <w:t>אף</w:t>
      </w:r>
      <w:r w:rsidR="00E056A5">
        <w:rPr>
          <w:rFonts w:ascii="Alef" w:hAnsi="Alef" w:cs="Alef" w:hint="cs"/>
          <w:rtl/>
        </w:rPr>
        <w:t xml:space="preserve"> היא</w:t>
      </w:r>
      <w:r w:rsidR="00572A3C">
        <w:rPr>
          <w:rFonts w:ascii="Alef" w:hAnsi="Alef" w:cs="Alef" w:hint="cs"/>
          <w:rtl/>
        </w:rPr>
        <w:t xml:space="preserve"> </w:t>
      </w:r>
      <w:r>
        <w:rPr>
          <w:rFonts w:ascii="Alef" w:hAnsi="Alef" w:cs="Alef" w:hint="cs"/>
          <w:rtl/>
        </w:rPr>
        <w:t xml:space="preserve">תמונה </w:t>
      </w:r>
      <w:r w:rsidR="00572A3C">
        <w:rPr>
          <w:rFonts w:ascii="Alef" w:hAnsi="Alef" w:cs="Alef" w:hint="cs"/>
          <w:rtl/>
        </w:rPr>
        <w:t>ריכוזית מאוד</w:t>
      </w:r>
      <w:r>
        <w:rPr>
          <w:rFonts w:ascii="Alef" w:hAnsi="Alef" w:cs="Alef" w:hint="cs"/>
          <w:rtl/>
        </w:rPr>
        <w:t xml:space="preserve">, לפיה </w:t>
      </w:r>
      <w:r w:rsidR="00572A3C">
        <w:rPr>
          <w:rFonts w:ascii="Alef" w:hAnsi="Alef" w:cs="Alef" w:hint="cs"/>
          <w:rtl/>
        </w:rPr>
        <w:t xml:space="preserve">בקטגוריות רבות חולקים </w:t>
      </w:r>
      <w:r w:rsidR="00572A3C" w:rsidRPr="00211459">
        <w:rPr>
          <w:rFonts w:ascii="Alef" w:hAnsi="Alef" w:cs="Alef" w:hint="eastAsia"/>
          <w:b/>
          <w:bCs/>
          <w:rtl/>
        </w:rPr>
        <w:t>שלושת</w:t>
      </w:r>
      <w:r w:rsidR="00572A3C" w:rsidRPr="00211459">
        <w:rPr>
          <w:rFonts w:ascii="Alef" w:hAnsi="Alef" w:cs="Alef"/>
          <w:b/>
          <w:bCs/>
          <w:rtl/>
        </w:rPr>
        <w:t xml:space="preserve"> </w:t>
      </w:r>
      <w:r w:rsidR="00572A3C" w:rsidRPr="00211459">
        <w:rPr>
          <w:rFonts w:ascii="Alef" w:hAnsi="Alef" w:cs="Alef" w:hint="eastAsia"/>
          <w:b/>
          <w:bCs/>
          <w:rtl/>
        </w:rPr>
        <w:t>המתחרים</w:t>
      </w:r>
      <w:r w:rsidR="00572A3C" w:rsidRPr="00211459">
        <w:rPr>
          <w:rFonts w:ascii="Alef" w:hAnsi="Alef" w:cs="Alef"/>
          <w:b/>
          <w:bCs/>
          <w:rtl/>
        </w:rPr>
        <w:t xml:space="preserve"> </w:t>
      </w:r>
      <w:r w:rsidR="00572A3C" w:rsidRPr="00211459">
        <w:rPr>
          <w:rFonts w:ascii="Alef" w:hAnsi="Alef" w:cs="Alef" w:hint="eastAsia"/>
          <w:b/>
          <w:bCs/>
          <w:rtl/>
        </w:rPr>
        <w:t>הגדולים</w:t>
      </w:r>
      <w:r w:rsidR="00572A3C">
        <w:rPr>
          <w:rFonts w:ascii="Alef" w:hAnsi="Alef" w:cs="Alef" w:hint="cs"/>
          <w:rtl/>
        </w:rPr>
        <w:t xml:space="preserve"> 75% או יותר מהיקף המכר בקטגוריה (ראו טבלה 1).</w:t>
      </w:r>
      <w:r>
        <w:rPr>
          <w:rFonts w:ascii="Alef" w:hAnsi="Alef" w:cs="Alef" w:hint="cs"/>
          <w:rtl/>
        </w:rPr>
        <w:t xml:space="preserve"> </w:t>
      </w:r>
    </w:p>
    <w:p w14:paraId="66055A1A" w14:textId="78152FA1" w:rsidR="00572A3C" w:rsidRPr="005F2F6F" w:rsidRDefault="00572A3C" w:rsidP="00211459">
      <w:pPr>
        <w:spacing w:after="0"/>
        <w:jc w:val="center"/>
        <w:rPr>
          <w:rFonts w:ascii="Alef" w:hAnsi="Alef" w:cs="Alef"/>
          <w:b/>
          <w:bCs/>
          <w:rtl/>
        </w:rPr>
      </w:pPr>
      <w:r>
        <w:rPr>
          <w:rFonts w:ascii="Alef" w:hAnsi="Alef" w:cs="Alef" w:hint="cs"/>
          <w:b/>
          <w:bCs/>
          <w:rtl/>
        </w:rPr>
        <w:t>טבלה</w:t>
      </w:r>
      <w:r w:rsidRPr="005F2F6F">
        <w:rPr>
          <w:rFonts w:ascii="Alef" w:hAnsi="Alef" w:cs="Alef"/>
          <w:b/>
          <w:bCs/>
          <w:rtl/>
        </w:rPr>
        <w:t xml:space="preserve"> 1: מדד </w:t>
      </w:r>
      <w:r>
        <w:rPr>
          <w:rFonts w:ascii="Alef" w:hAnsi="Alef" w:cs="Alef"/>
          <w:b/>
          <w:bCs/>
        </w:rPr>
        <w:t>CR3</w:t>
      </w:r>
      <w:r w:rsidRPr="005F2F6F">
        <w:rPr>
          <w:rFonts w:ascii="Alef" w:hAnsi="Alef" w:cs="Alef"/>
          <w:b/>
          <w:bCs/>
          <w:rtl/>
        </w:rPr>
        <w:t xml:space="preserve"> בתחום </w:t>
      </w:r>
      <w:r>
        <w:rPr>
          <w:rFonts w:ascii="Alef" w:hAnsi="Alef" w:cs="Alef" w:hint="cs"/>
          <w:b/>
          <w:bCs/>
          <w:rtl/>
        </w:rPr>
        <w:t>הטואלטיקה ב-2020</w:t>
      </w:r>
      <w:r w:rsidRPr="005F2F6F">
        <w:rPr>
          <w:rFonts w:ascii="Alef" w:hAnsi="Alef" w:cs="Alef"/>
          <w:b/>
          <w:bCs/>
          <w:rtl/>
        </w:rPr>
        <w:t>, לפי קטגוריות מוצר</w:t>
      </w:r>
    </w:p>
    <w:tbl>
      <w:tblPr>
        <w:bidiVisual/>
        <w:tblW w:w="2914" w:type="dxa"/>
        <w:tblInd w:w="2230" w:type="dxa"/>
        <w:tblLook w:val="04A0" w:firstRow="1" w:lastRow="0" w:firstColumn="1" w:lastColumn="0" w:noHBand="0" w:noVBand="1"/>
      </w:tblPr>
      <w:tblGrid>
        <w:gridCol w:w="1900"/>
        <w:gridCol w:w="1014"/>
      </w:tblGrid>
      <w:tr w:rsidR="00025522" w:rsidRPr="00492635" w14:paraId="622A42E0" w14:textId="77777777" w:rsidTr="00025522">
        <w:trPr>
          <w:trHeight w:val="260"/>
        </w:trPr>
        <w:tc>
          <w:tcPr>
            <w:tcW w:w="1900" w:type="dxa"/>
            <w:tcBorders>
              <w:top w:val="single" w:sz="8" w:space="0" w:color="auto"/>
              <w:left w:val="single" w:sz="8" w:space="0" w:color="auto"/>
              <w:bottom w:val="nil"/>
              <w:right w:val="nil"/>
            </w:tcBorders>
            <w:shd w:val="clear" w:color="auto" w:fill="auto"/>
            <w:noWrap/>
            <w:vAlign w:val="bottom"/>
            <w:hideMark/>
          </w:tcPr>
          <w:p w14:paraId="03D76A82" w14:textId="77777777" w:rsidR="00025522" w:rsidRPr="00492635" w:rsidRDefault="00025522" w:rsidP="00025522">
            <w:pPr>
              <w:spacing w:after="0" w:line="240" w:lineRule="auto"/>
              <w:jc w:val="left"/>
              <w:rPr>
                <w:rFonts w:ascii="Arial" w:hAnsi="Arial" w:cs="Arial"/>
                <w:b/>
                <w:bCs/>
                <w:sz w:val="20"/>
                <w:szCs w:val="20"/>
                <w:rtl/>
              </w:rPr>
            </w:pPr>
            <w:r w:rsidRPr="00492635">
              <w:rPr>
                <w:rFonts w:ascii="Arial" w:hAnsi="Arial" w:cs="Arial"/>
                <w:b/>
                <w:bCs/>
                <w:sz w:val="20"/>
                <w:szCs w:val="20"/>
              </w:rPr>
              <w:t> </w:t>
            </w:r>
            <w:r w:rsidRPr="00492635">
              <w:rPr>
                <w:rFonts w:ascii="Arial" w:hAnsi="Arial" w:cs="Arial" w:hint="cs"/>
                <w:b/>
                <w:bCs/>
                <w:sz w:val="20"/>
                <w:szCs w:val="20"/>
                <w:rtl/>
              </w:rPr>
              <w:t>קטגוריה</w:t>
            </w:r>
          </w:p>
        </w:tc>
        <w:tc>
          <w:tcPr>
            <w:tcW w:w="1014" w:type="dxa"/>
            <w:tcBorders>
              <w:top w:val="single" w:sz="8" w:space="0" w:color="auto"/>
              <w:left w:val="single" w:sz="8" w:space="0" w:color="auto"/>
              <w:bottom w:val="nil"/>
              <w:right w:val="single" w:sz="8" w:space="0" w:color="auto"/>
            </w:tcBorders>
            <w:shd w:val="clear" w:color="auto" w:fill="auto"/>
            <w:noWrap/>
            <w:vAlign w:val="bottom"/>
            <w:hideMark/>
          </w:tcPr>
          <w:p w14:paraId="7A1DBEB6" w14:textId="77777777" w:rsidR="00025522" w:rsidRPr="00492635" w:rsidRDefault="00025522" w:rsidP="00025522">
            <w:pPr>
              <w:bidi w:val="0"/>
              <w:spacing w:after="0" w:line="240" w:lineRule="auto"/>
              <w:jc w:val="right"/>
              <w:rPr>
                <w:rFonts w:ascii="Arial" w:hAnsi="Arial" w:cs="Arial"/>
                <w:b/>
                <w:bCs/>
                <w:sz w:val="20"/>
                <w:szCs w:val="20"/>
              </w:rPr>
            </w:pPr>
            <w:r w:rsidRPr="00492635">
              <w:rPr>
                <w:rFonts w:ascii="Arial" w:hAnsi="Arial" w:cs="Arial"/>
                <w:b/>
                <w:bCs/>
                <w:sz w:val="20"/>
                <w:szCs w:val="20"/>
              </w:rPr>
              <w:t>CR3</w:t>
            </w:r>
          </w:p>
        </w:tc>
      </w:tr>
      <w:tr w:rsidR="00025522" w:rsidRPr="00562FEF" w14:paraId="5AEDB98B" w14:textId="77777777" w:rsidTr="00025522">
        <w:trPr>
          <w:trHeight w:val="250"/>
        </w:trPr>
        <w:tc>
          <w:tcPr>
            <w:tcW w:w="19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A5487D6" w14:textId="77777777" w:rsidR="00025522" w:rsidRPr="00562FEF" w:rsidRDefault="00025522" w:rsidP="00025522">
            <w:pPr>
              <w:spacing w:after="0" w:line="240" w:lineRule="auto"/>
              <w:jc w:val="left"/>
              <w:rPr>
                <w:rFonts w:ascii="Arial" w:hAnsi="Arial" w:cs="Arial"/>
                <w:sz w:val="20"/>
                <w:szCs w:val="20"/>
              </w:rPr>
            </w:pPr>
            <w:r w:rsidRPr="00562FEF">
              <w:rPr>
                <w:rFonts w:ascii="Arial" w:hAnsi="Arial" w:cs="Arial"/>
                <w:sz w:val="20"/>
                <w:szCs w:val="20"/>
                <w:rtl/>
              </w:rPr>
              <w:t>דאודורנט לגברים</w:t>
            </w:r>
          </w:p>
        </w:tc>
        <w:tc>
          <w:tcPr>
            <w:tcW w:w="1014"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67EBC4E7" w14:textId="77777777" w:rsidR="00025522" w:rsidRPr="00562FEF" w:rsidRDefault="00025522" w:rsidP="00025522">
            <w:pPr>
              <w:bidi w:val="0"/>
              <w:spacing w:after="0" w:line="240" w:lineRule="auto"/>
              <w:jc w:val="right"/>
              <w:rPr>
                <w:rFonts w:ascii="Arial" w:hAnsi="Arial" w:cs="Arial"/>
                <w:sz w:val="20"/>
                <w:szCs w:val="20"/>
                <w:rtl/>
              </w:rPr>
            </w:pPr>
            <w:r w:rsidRPr="00562FEF">
              <w:rPr>
                <w:rFonts w:ascii="Arial" w:hAnsi="Arial" w:cs="Arial"/>
                <w:sz w:val="20"/>
                <w:szCs w:val="20"/>
              </w:rPr>
              <w:t>77%</w:t>
            </w:r>
          </w:p>
        </w:tc>
      </w:tr>
      <w:tr w:rsidR="00025522" w:rsidRPr="00562FEF" w14:paraId="52C0CBC6" w14:textId="77777777" w:rsidTr="00025522">
        <w:trPr>
          <w:trHeight w:val="250"/>
        </w:trPr>
        <w:tc>
          <w:tcPr>
            <w:tcW w:w="1900" w:type="dxa"/>
            <w:tcBorders>
              <w:top w:val="nil"/>
              <w:left w:val="single" w:sz="8" w:space="0" w:color="auto"/>
              <w:bottom w:val="single" w:sz="4" w:space="0" w:color="auto"/>
              <w:right w:val="single" w:sz="4" w:space="0" w:color="auto"/>
            </w:tcBorders>
            <w:shd w:val="clear" w:color="auto" w:fill="auto"/>
            <w:noWrap/>
            <w:vAlign w:val="bottom"/>
            <w:hideMark/>
          </w:tcPr>
          <w:p w14:paraId="6CF3EB5A" w14:textId="77777777" w:rsidR="00025522" w:rsidRPr="00562FEF" w:rsidRDefault="00025522" w:rsidP="00025522">
            <w:pPr>
              <w:spacing w:after="0" w:line="240" w:lineRule="auto"/>
              <w:jc w:val="left"/>
              <w:rPr>
                <w:rFonts w:ascii="Arial" w:hAnsi="Arial" w:cs="Arial"/>
                <w:sz w:val="20"/>
                <w:szCs w:val="20"/>
              </w:rPr>
            </w:pPr>
            <w:r w:rsidRPr="00562FEF">
              <w:rPr>
                <w:rFonts w:ascii="Arial" w:hAnsi="Arial" w:cs="Arial"/>
                <w:sz w:val="20"/>
                <w:szCs w:val="20"/>
                <w:rtl/>
              </w:rPr>
              <w:t>דאודורנט נשים</w:t>
            </w:r>
          </w:p>
        </w:tc>
        <w:tc>
          <w:tcPr>
            <w:tcW w:w="1014" w:type="dxa"/>
            <w:tcBorders>
              <w:top w:val="nil"/>
              <w:left w:val="single" w:sz="4" w:space="0" w:color="auto"/>
              <w:bottom w:val="single" w:sz="4" w:space="0" w:color="auto"/>
              <w:right w:val="single" w:sz="8" w:space="0" w:color="auto"/>
            </w:tcBorders>
            <w:shd w:val="clear" w:color="auto" w:fill="auto"/>
            <w:noWrap/>
            <w:vAlign w:val="bottom"/>
            <w:hideMark/>
          </w:tcPr>
          <w:p w14:paraId="6498BE13" w14:textId="77777777" w:rsidR="00025522" w:rsidRPr="00562FEF" w:rsidRDefault="00025522" w:rsidP="00025522">
            <w:pPr>
              <w:bidi w:val="0"/>
              <w:spacing w:after="0" w:line="240" w:lineRule="auto"/>
              <w:jc w:val="right"/>
              <w:rPr>
                <w:rFonts w:ascii="Arial" w:hAnsi="Arial" w:cs="Arial"/>
                <w:sz w:val="20"/>
                <w:szCs w:val="20"/>
                <w:rtl/>
              </w:rPr>
            </w:pPr>
            <w:r w:rsidRPr="00562FEF">
              <w:rPr>
                <w:rFonts w:ascii="Arial" w:hAnsi="Arial" w:cs="Arial"/>
                <w:sz w:val="20"/>
                <w:szCs w:val="20"/>
              </w:rPr>
              <w:t>75%</w:t>
            </w:r>
          </w:p>
        </w:tc>
      </w:tr>
      <w:tr w:rsidR="00025522" w:rsidRPr="00562FEF" w14:paraId="7696DAD0" w14:textId="77777777" w:rsidTr="00025522">
        <w:trPr>
          <w:trHeight w:val="250"/>
        </w:trPr>
        <w:tc>
          <w:tcPr>
            <w:tcW w:w="1900" w:type="dxa"/>
            <w:tcBorders>
              <w:top w:val="nil"/>
              <w:left w:val="single" w:sz="8" w:space="0" w:color="auto"/>
              <w:bottom w:val="single" w:sz="4" w:space="0" w:color="auto"/>
              <w:right w:val="single" w:sz="4" w:space="0" w:color="auto"/>
            </w:tcBorders>
            <w:shd w:val="clear" w:color="auto" w:fill="auto"/>
            <w:noWrap/>
            <w:vAlign w:val="bottom"/>
            <w:hideMark/>
          </w:tcPr>
          <w:p w14:paraId="495641D9" w14:textId="77777777" w:rsidR="00025522" w:rsidRPr="00562FEF" w:rsidRDefault="00025522" w:rsidP="00025522">
            <w:pPr>
              <w:spacing w:after="0" w:line="240" w:lineRule="auto"/>
              <w:jc w:val="left"/>
              <w:rPr>
                <w:rFonts w:ascii="Arial" w:hAnsi="Arial" w:cs="Arial"/>
                <w:sz w:val="20"/>
                <w:szCs w:val="20"/>
              </w:rPr>
            </w:pPr>
            <w:proofErr w:type="spellStart"/>
            <w:r w:rsidRPr="00562FEF">
              <w:rPr>
                <w:rFonts w:ascii="Arial" w:hAnsi="Arial" w:cs="Arial"/>
                <w:sz w:val="20"/>
                <w:szCs w:val="20"/>
                <w:rtl/>
              </w:rPr>
              <w:t>הגיינה</w:t>
            </w:r>
            <w:proofErr w:type="spellEnd"/>
            <w:r w:rsidRPr="00562FEF">
              <w:rPr>
                <w:rFonts w:ascii="Arial" w:hAnsi="Arial" w:cs="Arial"/>
                <w:sz w:val="20"/>
                <w:szCs w:val="20"/>
                <w:rtl/>
              </w:rPr>
              <w:t xml:space="preserve"> נשית</w:t>
            </w:r>
          </w:p>
        </w:tc>
        <w:tc>
          <w:tcPr>
            <w:tcW w:w="1014" w:type="dxa"/>
            <w:tcBorders>
              <w:top w:val="nil"/>
              <w:left w:val="single" w:sz="4" w:space="0" w:color="auto"/>
              <w:bottom w:val="single" w:sz="4" w:space="0" w:color="auto"/>
              <w:right w:val="single" w:sz="8" w:space="0" w:color="auto"/>
            </w:tcBorders>
            <w:shd w:val="clear" w:color="auto" w:fill="auto"/>
            <w:noWrap/>
            <w:vAlign w:val="bottom"/>
            <w:hideMark/>
          </w:tcPr>
          <w:p w14:paraId="0D28F049" w14:textId="77777777" w:rsidR="00025522" w:rsidRPr="00562FEF" w:rsidRDefault="00025522" w:rsidP="00025522">
            <w:pPr>
              <w:bidi w:val="0"/>
              <w:spacing w:after="0" w:line="240" w:lineRule="auto"/>
              <w:jc w:val="right"/>
              <w:rPr>
                <w:rFonts w:ascii="Arial" w:hAnsi="Arial" w:cs="Arial"/>
                <w:sz w:val="20"/>
                <w:szCs w:val="20"/>
                <w:rtl/>
              </w:rPr>
            </w:pPr>
            <w:r w:rsidRPr="00562FEF">
              <w:rPr>
                <w:rFonts w:ascii="Arial" w:hAnsi="Arial" w:cs="Arial"/>
                <w:sz w:val="20"/>
                <w:szCs w:val="20"/>
              </w:rPr>
              <w:t>88%</w:t>
            </w:r>
          </w:p>
        </w:tc>
      </w:tr>
      <w:tr w:rsidR="00025522" w:rsidRPr="00562FEF" w14:paraId="580EF9E7" w14:textId="77777777" w:rsidTr="00025522">
        <w:trPr>
          <w:trHeight w:val="250"/>
        </w:trPr>
        <w:tc>
          <w:tcPr>
            <w:tcW w:w="1900" w:type="dxa"/>
            <w:tcBorders>
              <w:top w:val="nil"/>
              <w:left w:val="single" w:sz="8" w:space="0" w:color="auto"/>
              <w:bottom w:val="single" w:sz="4" w:space="0" w:color="auto"/>
              <w:right w:val="single" w:sz="4" w:space="0" w:color="auto"/>
            </w:tcBorders>
            <w:shd w:val="clear" w:color="auto" w:fill="auto"/>
            <w:noWrap/>
            <w:vAlign w:val="bottom"/>
            <w:hideMark/>
          </w:tcPr>
          <w:p w14:paraId="1455438B" w14:textId="77777777" w:rsidR="00025522" w:rsidRPr="00562FEF" w:rsidRDefault="00025522" w:rsidP="00025522">
            <w:pPr>
              <w:spacing w:after="0" w:line="240" w:lineRule="auto"/>
              <w:jc w:val="left"/>
              <w:rPr>
                <w:rFonts w:ascii="Arial" w:hAnsi="Arial" w:cs="Arial"/>
                <w:sz w:val="20"/>
                <w:szCs w:val="20"/>
              </w:rPr>
            </w:pPr>
            <w:r w:rsidRPr="00562FEF">
              <w:rPr>
                <w:rFonts w:ascii="Arial" w:hAnsi="Arial" w:cs="Arial"/>
                <w:sz w:val="20"/>
                <w:szCs w:val="20"/>
                <w:rtl/>
              </w:rPr>
              <w:t>חומרים לכביסה</w:t>
            </w:r>
          </w:p>
        </w:tc>
        <w:tc>
          <w:tcPr>
            <w:tcW w:w="1014" w:type="dxa"/>
            <w:tcBorders>
              <w:top w:val="nil"/>
              <w:left w:val="single" w:sz="4" w:space="0" w:color="auto"/>
              <w:bottom w:val="single" w:sz="4" w:space="0" w:color="auto"/>
              <w:right w:val="single" w:sz="8" w:space="0" w:color="auto"/>
            </w:tcBorders>
            <w:shd w:val="clear" w:color="auto" w:fill="auto"/>
            <w:noWrap/>
            <w:vAlign w:val="bottom"/>
            <w:hideMark/>
          </w:tcPr>
          <w:p w14:paraId="260CE737" w14:textId="77777777" w:rsidR="00025522" w:rsidRPr="00562FEF" w:rsidRDefault="00025522" w:rsidP="00025522">
            <w:pPr>
              <w:bidi w:val="0"/>
              <w:spacing w:after="0" w:line="240" w:lineRule="auto"/>
              <w:jc w:val="right"/>
              <w:rPr>
                <w:rFonts w:ascii="Arial" w:hAnsi="Arial" w:cs="Arial"/>
                <w:sz w:val="20"/>
                <w:szCs w:val="20"/>
                <w:rtl/>
              </w:rPr>
            </w:pPr>
            <w:r w:rsidRPr="00562FEF">
              <w:rPr>
                <w:rFonts w:ascii="Arial" w:hAnsi="Arial" w:cs="Arial"/>
                <w:sz w:val="20"/>
                <w:szCs w:val="20"/>
              </w:rPr>
              <w:t>73%</w:t>
            </w:r>
          </w:p>
        </w:tc>
      </w:tr>
      <w:tr w:rsidR="00025522" w:rsidRPr="00562FEF" w14:paraId="6B491192" w14:textId="77777777" w:rsidTr="00025522">
        <w:trPr>
          <w:trHeight w:val="250"/>
        </w:trPr>
        <w:tc>
          <w:tcPr>
            <w:tcW w:w="1900" w:type="dxa"/>
            <w:tcBorders>
              <w:top w:val="nil"/>
              <w:left w:val="single" w:sz="8" w:space="0" w:color="auto"/>
              <w:bottom w:val="single" w:sz="4" w:space="0" w:color="auto"/>
              <w:right w:val="single" w:sz="4" w:space="0" w:color="auto"/>
            </w:tcBorders>
            <w:shd w:val="clear" w:color="auto" w:fill="auto"/>
            <w:noWrap/>
            <w:vAlign w:val="bottom"/>
            <w:hideMark/>
          </w:tcPr>
          <w:p w14:paraId="5195F35A" w14:textId="77777777" w:rsidR="00025522" w:rsidRPr="00562FEF" w:rsidRDefault="00025522" w:rsidP="00025522">
            <w:pPr>
              <w:spacing w:after="0" w:line="240" w:lineRule="auto"/>
              <w:jc w:val="left"/>
              <w:rPr>
                <w:rFonts w:ascii="Arial" w:hAnsi="Arial" w:cs="Arial"/>
                <w:sz w:val="20"/>
                <w:szCs w:val="20"/>
              </w:rPr>
            </w:pPr>
            <w:r w:rsidRPr="00562FEF">
              <w:rPr>
                <w:rFonts w:ascii="Arial" w:hAnsi="Arial" w:cs="Arial"/>
                <w:sz w:val="20"/>
                <w:szCs w:val="20"/>
                <w:rtl/>
              </w:rPr>
              <w:t>חיתולים</w:t>
            </w:r>
          </w:p>
        </w:tc>
        <w:tc>
          <w:tcPr>
            <w:tcW w:w="1014" w:type="dxa"/>
            <w:tcBorders>
              <w:top w:val="nil"/>
              <w:left w:val="single" w:sz="4" w:space="0" w:color="auto"/>
              <w:bottom w:val="single" w:sz="4" w:space="0" w:color="auto"/>
              <w:right w:val="single" w:sz="8" w:space="0" w:color="auto"/>
            </w:tcBorders>
            <w:shd w:val="clear" w:color="auto" w:fill="auto"/>
            <w:noWrap/>
            <w:vAlign w:val="bottom"/>
            <w:hideMark/>
          </w:tcPr>
          <w:p w14:paraId="00A594C6" w14:textId="77777777" w:rsidR="00025522" w:rsidRPr="00562FEF" w:rsidRDefault="00025522" w:rsidP="00025522">
            <w:pPr>
              <w:bidi w:val="0"/>
              <w:spacing w:after="0" w:line="240" w:lineRule="auto"/>
              <w:jc w:val="right"/>
              <w:rPr>
                <w:rFonts w:ascii="Arial" w:hAnsi="Arial" w:cs="Arial"/>
                <w:sz w:val="20"/>
                <w:szCs w:val="20"/>
                <w:rtl/>
              </w:rPr>
            </w:pPr>
            <w:r w:rsidRPr="00562FEF">
              <w:rPr>
                <w:rFonts w:ascii="Arial" w:hAnsi="Arial" w:cs="Arial"/>
                <w:sz w:val="20"/>
                <w:szCs w:val="20"/>
              </w:rPr>
              <w:t>94%</w:t>
            </w:r>
          </w:p>
        </w:tc>
      </w:tr>
      <w:tr w:rsidR="00025522" w:rsidRPr="00562FEF" w14:paraId="11C44889" w14:textId="77777777" w:rsidTr="00025522">
        <w:trPr>
          <w:trHeight w:val="250"/>
        </w:trPr>
        <w:tc>
          <w:tcPr>
            <w:tcW w:w="1900" w:type="dxa"/>
            <w:tcBorders>
              <w:top w:val="nil"/>
              <w:left w:val="single" w:sz="8" w:space="0" w:color="auto"/>
              <w:bottom w:val="single" w:sz="4" w:space="0" w:color="auto"/>
              <w:right w:val="single" w:sz="4" w:space="0" w:color="auto"/>
            </w:tcBorders>
            <w:shd w:val="clear" w:color="auto" w:fill="auto"/>
            <w:noWrap/>
            <w:vAlign w:val="bottom"/>
            <w:hideMark/>
          </w:tcPr>
          <w:p w14:paraId="6D33FD3B" w14:textId="77777777" w:rsidR="00025522" w:rsidRPr="00562FEF" w:rsidRDefault="00025522" w:rsidP="00025522">
            <w:pPr>
              <w:spacing w:after="0" w:line="240" w:lineRule="auto"/>
              <w:jc w:val="left"/>
              <w:rPr>
                <w:rFonts w:ascii="Arial" w:hAnsi="Arial" w:cs="Arial"/>
                <w:sz w:val="20"/>
                <w:szCs w:val="20"/>
              </w:rPr>
            </w:pPr>
            <w:r w:rsidRPr="00562FEF">
              <w:rPr>
                <w:rFonts w:ascii="Arial" w:hAnsi="Arial" w:cs="Arial"/>
                <w:sz w:val="20"/>
                <w:szCs w:val="20"/>
                <w:rtl/>
              </w:rPr>
              <w:t>מברשות שיניים</w:t>
            </w:r>
          </w:p>
        </w:tc>
        <w:tc>
          <w:tcPr>
            <w:tcW w:w="1014" w:type="dxa"/>
            <w:tcBorders>
              <w:top w:val="nil"/>
              <w:left w:val="single" w:sz="4" w:space="0" w:color="auto"/>
              <w:bottom w:val="single" w:sz="4" w:space="0" w:color="auto"/>
              <w:right w:val="single" w:sz="8" w:space="0" w:color="auto"/>
            </w:tcBorders>
            <w:shd w:val="clear" w:color="auto" w:fill="auto"/>
            <w:noWrap/>
            <w:vAlign w:val="bottom"/>
            <w:hideMark/>
          </w:tcPr>
          <w:p w14:paraId="7E86BB16" w14:textId="77777777" w:rsidR="00025522" w:rsidRPr="00562FEF" w:rsidRDefault="00025522" w:rsidP="00025522">
            <w:pPr>
              <w:bidi w:val="0"/>
              <w:spacing w:after="0" w:line="240" w:lineRule="auto"/>
              <w:jc w:val="right"/>
              <w:rPr>
                <w:rFonts w:ascii="Arial" w:hAnsi="Arial" w:cs="Arial"/>
                <w:sz w:val="20"/>
                <w:szCs w:val="20"/>
                <w:rtl/>
              </w:rPr>
            </w:pPr>
            <w:r w:rsidRPr="00562FEF">
              <w:rPr>
                <w:rFonts w:ascii="Arial" w:hAnsi="Arial" w:cs="Arial"/>
                <w:sz w:val="20"/>
                <w:szCs w:val="20"/>
              </w:rPr>
              <w:t>75%</w:t>
            </w:r>
          </w:p>
        </w:tc>
      </w:tr>
      <w:tr w:rsidR="00025522" w:rsidRPr="00562FEF" w14:paraId="58CDA18F" w14:textId="77777777" w:rsidTr="00025522">
        <w:trPr>
          <w:trHeight w:val="250"/>
        </w:trPr>
        <w:tc>
          <w:tcPr>
            <w:tcW w:w="1900" w:type="dxa"/>
            <w:tcBorders>
              <w:top w:val="nil"/>
              <w:left w:val="single" w:sz="8" w:space="0" w:color="auto"/>
              <w:bottom w:val="single" w:sz="4" w:space="0" w:color="auto"/>
              <w:right w:val="single" w:sz="4" w:space="0" w:color="auto"/>
            </w:tcBorders>
            <w:shd w:val="clear" w:color="auto" w:fill="auto"/>
            <w:noWrap/>
            <w:vAlign w:val="bottom"/>
            <w:hideMark/>
          </w:tcPr>
          <w:p w14:paraId="321F67E4" w14:textId="77777777" w:rsidR="00025522" w:rsidRPr="00562FEF" w:rsidRDefault="00025522" w:rsidP="00025522">
            <w:pPr>
              <w:spacing w:after="0" w:line="240" w:lineRule="auto"/>
              <w:jc w:val="left"/>
              <w:rPr>
                <w:rFonts w:ascii="Arial" w:hAnsi="Arial" w:cs="Arial"/>
                <w:sz w:val="20"/>
                <w:szCs w:val="20"/>
              </w:rPr>
            </w:pPr>
            <w:r w:rsidRPr="00562FEF">
              <w:rPr>
                <w:rFonts w:ascii="Arial" w:hAnsi="Arial" w:cs="Arial"/>
                <w:sz w:val="20"/>
                <w:szCs w:val="20"/>
                <w:rtl/>
              </w:rPr>
              <w:t>מוצרי אקונומיקה</w:t>
            </w:r>
          </w:p>
        </w:tc>
        <w:tc>
          <w:tcPr>
            <w:tcW w:w="1014" w:type="dxa"/>
            <w:tcBorders>
              <w:top w:val="nil"/>
              <w:left w:val="single" w:sz="4" w:space="0" w:color="auto"/>
              <w:bottom w:val="single" w:sz="4" w:space="0" w:color="auto"/>
              <w:right w:val="single" w:sz="8" w:space="0" w:color="auto"/>
            </w:tcBorders>
            <w:shd w:val="clear" w:color="auto" w:fill="auto"/>
            <w:noWrap/>
            <w:vAlign w:val="bottom"/>
            <w:hideMark/>
          </w:tcPr>
          <w:p w14:paraId="79E1718A" w14:textId="77777777" w:rsidR="00025522" w:rsidRPr="00562FEF" w:rsidRDefault="00025522" w:rsidP="00025522">
            <w:pPr>
              <w:bidi w:val="0"/>
              <w:spacing w:after="0" w:line="240" w:lineRule="auto"/>
              <w:jc w:val="right"/>
              <w:rPr>
                <w:rFonts w:ascii="Arial" w:hAnsi="Arial" w:cs="Arial"/>
                <w:sz w:val="20"/>
                <w:szCs w:val="20"/>
                <w:rtl/>
              </w:rPr>
            </w:pPr>
            <w:r w:rsidRPr="00562FEF">
              <w:rPr>
                <w:rFonts w:ascii="Arial" w:hAnsi="Arial" w:cs="Arial"/>
                <w:sz w:val="20"/>
                <w:szCs w:val="20"/>
              </w:rPr>
              <w:t>91%</w:t>
            </w:r>
          </w:p>
        </w:tc>
      </w:tr>
      <w:tr w:rsidR="00025522" w:rsidRPr="00562FEF" w14:paraId="3C29B86B" w14:textId="77777777" w:rsidTr="00025522">
        <w:trPr>
          <w:trHeight w:val="250"/>
        </w:trPr>
        <w:tc>
          <w:tcPr>
            <w:tcW w:w="1900" w:type="dxa"/>
            <w:tcBorders>
              <w:top w:val="nil"/>
              <w:left w:val="single" w:sz="8" w:space="0" w:color="auto"/>
              <w:bottom w:val="single" w:sz="4" w:space="0" w:color="auto"/>
              <w:right w:val="single" w:sz="4" w:space="0" w:color="auto"/>
            </w:tcBorders>
            <w:shd w:val="clear" w:color="auto" w:fill="auto"/>
            <w:noWrap/>
            <w:vAlign w:val="bottom"/>
            <w:hideMark/>
          </w:tcPr>
          <w:p w14:paraId="63BBD07A" w14:textId="77777777" w:rsidR="00025522" w:rsidRPr="00562FEF" w:rsidRDefault="00025522" w:rsidP="00025522">
            <w:pPr>
              <w:spacing w:after="0" w:line="240" w:lineRule="auto"/>
              <w:jc w:val="left"/>
              <w:rPr>
                <w:rFonts w:ascii="Arial" w:hAnsi="Arial" w:cs="Arial"/>
                <w:sz w:val="20"/>
                <w:szCs w:val="20"/>
              </w:rPr>
            </w:pPr>
            <w:r w:rsidRPr="00562FEF">
              <w:rPr>
                <w:rFonts w:ascii="Arial" w:hAnsi="Arial" w:cs="Arial"/>
                <w:sz w:val="20"/>
                <w:szCs w:val="20"/>
                <w:rtl/>
              </w:rPr>
              <w:t>משחות שיניים</w:t>
            </w:r>
          </w:p>
        </w:tc>
        <w:tc>
          <w:tcPr>
            <w:tcW w:w="1014" w:type="dxa"/>
            <w:tcBorders>
              <w:top w:val="nil"/>
              <w:left w:val="single" w:sz="4" w:space="0" w:color="auto"/>
              <w:bottom w:val="single" w:sz="4" w:space="0" w:color="auto"/>
              <w:right w:val="single" w:sz="8" w:space="0" w:color="auto"/>
            </w:tcBorders>
            <w:shd w:val="clear" w:color="auto" w:fill="auto"/>
            <w:noWrap/>
            <w:vAlign w:val="bottom"/>
            <w:hideMark/>
          </w:tcPr>
          <w:p w14:paraId="3739B6E1" w14:textId="77777777" w:rsidR="00025522" w:rsidRPr="00562FEF" w:rsidRDefault="00025522" w:rsidP="00025522">
            <w:pPr>
              <w:bidi w:val="0"/>
              <w:spacing w:after="0" w:line="240" w:lineRule="auto"/>
              <w:jc w:val="right"/>
              <w:rPr>
                <w:rFonts w:ascii="Arial" w:hAnsi="Arial" w:cs="Arial"/>
                <w:sz w:val="20"/>
                <w:szCs w:val="20"/>
                <w:rtl/>
              </w:rPr>
            </w:pPr>
            <w:r w:rsidRPr="00562FEF">
              <w:rPr>
                <w:rFonts w:ascii="Arial" w:hAnsi="Arial" w:cs="Arial"/>
                <w:sz w:val="20"/>
                <w:szCs w:val="20"/>
              </w:rPr>
              <w:t>89%</w:t>
            </w:r>
          </w:p>
        </w:tc>
      </w:tr>
      <w:tr w:rsidR="00025522" w:rsidRPr="00562FEF" w14:paraId="4052416B" w14:textId="77777777" w:rsidTr="00025522">
        <w:trPr>
          <w:trHeight w:val="250"/>
        </w:trPr>
        <w:tc>
          <w:tcPr>
            <w:tcW w:w="1900" w:type="dxa"/>
            <w:tcBorders>
              <w:top w:val="nil"/>
              <w:left w:val="single" w:sz="8" w:space="0" w:color="auto"/>
              <w:bottom w:val="single" w:sz="4" w:space="0" w:color="auto"/>
              <w:right w:val="single" w:sz="4" w:space="0" w:color="auto"/>
            </w:tcBorders>
            <w:shd w:val="clear" w:color="auto" w:fill="auto"/>
            <w:noWrap/>
            <w:vAlign w:val="bottom"/>
            <w:hideMark/>
          </w:tcPr>
          <w:p w14:paraId="2794C32E" w14:textId="77777777" w:rsidR="00025522" w:rsidRPr="00562FEF" w:rsidRDefault="00025522" w:rsidP="00025522">
            <w:pPr>
              <w:spacing w:after="0" w:line="240" w:lineRule="auto"/>
              <w:jc w:val="left"/>
              <w:rPr>
                <w:rFonts w:ascii="Arial" w:hAnsi="Arial" w:cs="Arial"/>
                <w:sz w:val="20"/>
                <w:szCs w:val="20"/>
              </w:rPr>
            </w:pPr>
            <w:r w:rsidRPr="00562FEF">
              <w:rPr>
                <w:rFonts w:ascii="Arial" w:hAnsi="Arial" w:cs="Arial"/>
                <w:sz w:val="20"/>
                <w:szCs w:val="20"/>
                <w:rtl/>
              </w:rPr>
              <w:t>נוזל כלים</w:t>
            </w:r>
          </w:p>
        </w:tc>
        <w:tc>
          <w:tcPr>
            <w:tcW w:w="1014" w:type="dxa"/>
            <w:tcBorders>
              <w:top w:val="nil"/>
              <w:left w:val="single" w:sz="4" w:space="0" w:color="auto"/>
              <w:bottom w:val="single" w:sz="4" w:space="0" w:color="auto"/>
              <w:right w:val="single" w:sz="8" w:space="0" w:color="auto"/>
            </w:tcBorders>
            <w:shd w:val="clear" w:color="auto" w:fill="auto"/>
            <w:noWrap/>
            <w:vAlign w:val="bottom"/>
            <w:hideMark/>
          </w:tcPr>
          <w:p w14:paraId="11107B2E" w14:textId="77777777" w:rsidR="00025522" w:rsidRPr="00562FEF" w:rsidRDefault="00025522" w:rsidP="00025522">
            <w:pPr>
              <w:bidi w:val="0"/>
              <w:spacing w:after="0" w:line="240" w:lineRule="auto"/>
              <w:jc w:val="right"/>
              <w:rPr>
                <w:rFonts w:ascii="Arial" w:hAnsi="Arial" w:cs="Arial"/>
                <w:sz w:val="20"/>
                <w:szCs w:val="20"/>
                <w:rtl/>
              </w:rPr>
            </w:pPr>
            <w:r w:rsidRPr="00562FEF">
              <w:rPr>
                <w:rFonts w:ascii="Arial" w:hAnsi="Arial" w:cs="Arial"/>
                <w:sz w:val="20"/>
                <w:szCs w:val="20"/>
              </w:rPr>
              <w:t>81%</w:t>
            </w:r>
          </w:p>
        </w:tc>
      </w:tr>
      <w:tr w:rsidR="00025522" w:rsidRPr="00562FEF" w14:paraId="4E01FFED" w14:textId="77777777" w:rsidTr="00025522">
        <w:trPr>
          <w:trHeight w:val="250"/>
        </w:trPr>
        <w:tc>
          <w:tcPr>
            <w:tcW w:w="1900" w:type="dxa"/>
            <w:tcBorders>
              <w:top w:val="nil"/>
              <w:left w:val="single" w:sz="8" w:space="0" w:color="auto"/>
              <w:bottom w:val="single" w:sz="4" w:space="0" w:color="auto"/>
              <w:right w:val="single" w:sz="4" w:space="0" w:color="auto"/>
            </w:tcBorders>
            <w:shd w:val="clear" w:color="auto" w:fill="auto"/>
            <w:noWrap/>
            <w:vAlign w:val="bottom"/>
            <w:hideMark/>
          </w:tcPr>
          <w:p w14:paraId="2EA47812" w14:textId="77777777" w:rsidR="00025522" w:rsidRPr="00562FEF" w:rsidRDefault="00025522" w:rsidP="00025522">
            <w:pPr>
              <w:spacing w:after="0" w:line="240" w:lineRule="auto"/>
              <w:jc w:val="left"/>
              <w:rPr>
                <w:rFonts w:ascii="Arial" w:hAnsi="Arial" w:cs="Arial"/>
                <w:sz w:val="20"/>
                <w:szCs w:val="20"/>
              </w:rPr>
            </w:pPr>
            <w:r w:rsidRPr="00562FEF">
              <w:rPr>
                <w:rFonts w:ascii="Arial" w:hAnsi="Arial" w:cs="Arial"/>
                <w:sz w:val="20"/>
                <w:szCs w:val="20"/>
                <w:rtl/>
              </w:rPr>
              <w:t>נייר טואלט</w:t>
            </w:r>
          </w:p>
        </w:tc>
        <w:tc>
          <w:tcPr>
            <w:tcW w:w="1014" w:type="dxa"/>
            <w:tcBorders>
              <w:top w:val="nil"/>
              <w:left w:val="single" w:sz="4" w:space="0" w:color="auto"/>
              <w:bottom w:val="single" w:sz="4" w:space="0" w:color="auto"/>
              <w:right w:val="single" w:sz="8" w:space="0" w:color="auto"/>
            </w:tcBorders>
            <w:shd w:val="clear" w:color="auto" w:fill="auto"/>
            <w:noWrap/>
            <w:vAlign w:val="bottom"/>
            <w:hideMark/>
          </w:tcPr>
          <w:p w14:paraId="769F07FA" w14:textId="77777777" w:rsidR="00025522" w:rsidRPr="00562FEF" w:rsidRDefault="00025522" w:rsidP="00025522">
            <w:pPr>
              <w:bidi w:val="0"/>
              <w:spacing w:after="0" w:line="240" w:lineRule="auto"/>
              <w:jc w:val="right"/>
              <w:rPr>
                <w:rFonts w:ascii="Arial" w:hAnsi="Arial" w:cs="Arial"/>
                <w:sz w:val="20"/>
                <w:szCs w:val="20"/>
                <w:rtl/>
              </w:rPr>
            </w:pPr>
            <w:r w:rsidRPr="00562FEF">
              <w:rPr>
                <w:rFonts w:ascii="Arial" w:hAnsi="Arial" w:cs="Arial"/>
                <w:sz w:val="20"/>
                <w:szCs w:val="20"/>
              </w:rPr>
              <w:t>89%</w:t>
            </w:r>
          </w:p>
        </w:tc>
      </w:tr>
      <w:tr w:rsidR="00025522" w:rsidRPr="00562FEF" w14:paraId="72AB99EE" w14:textId="77777777" w:rsidTr="00025522">
        <w:trPr>
          <w:trHeight w:val="250"/>
        </w:trPr>
        <w:tc>
          <w:tcPr>
            <w:tcW w:w="1900" w:type="dxa"/>
            <w:tcBorders>
              <w:top w:val="nil"/>
              <w:left w:val="single" w:sz="8" w:space="0" w:color="auto"/>
              <w:bottom w:val="single" w:sz="4" w:space="0" w:color="auto"/>
              <w:right w:val="single" w:sz="4" w:space="0" w:color="auto"/>
            </w:tcBorders>
            <w:shd w:val="clear" w:color="auto" w:fill="auto"/>
            <w:noWrap/>
            <w:vAlign w:val="bottom"/>
            <w:hideMark/>
          </w:tcPr>
          <w:p w14:paraId="3DC3F58C" w14:textId="77777777" w:rsidR="00025522" w:rsidRPr="00562FEF" w:rsidRDefault="00025522" w:rsidP="00025522">
            <w:pPr>
              <w:spacing w:after="0" w:line="240" w:lineRule="auto"/>
              <w:jc w:val="left"/>
              <w:rPr>
                <w:rFonts w:ascii="Arial" w:hAnsi="Arial" w:cs="Arial"/>
                <w:sz w:val="20"/>
                <w:szCs w:val="20"/>
              </w:rPr>
            </w:pPr>
            <w:r w:rsidRPr="00562FEF">
              <w:rPr>
                <w:rFonts w:ascii="Arial" w:hAnsi="Arial" w:cs="Arial"/>
                <w:sz w:val="20"/>
                <w:szCs w:val="20"/>
                <w:rtl/>
              </w:rPr>
              <w:t>ניקוי כללי</w:t>
            </w:r>
          </w:p>
        </w:tc>
        <w:tc>
          <w:tcPr>
            <w:tcW w:w="1014" w:type="dxa"/>
            <w:tcBorders>
              <w:top w:val="nil"/>
              <w:left w:val="single" w:sz="4" w:space="0" w:color="auto"/>
              <w:bottom w:val="single" w:sz="4" w:space="0" w:color="auto"/>
              <w:right w:val="single" w:sz="8" w:space="0" w:color="auto"/>
            </w:tcBorders>
            <w:shd w:val="clear" w:color="auto" w:fill="auto"/>
            <w:noWrap/>
            <w:vAlign w:val="bottom"/>
            <w:hideMark/>
          </w:tcPr>
          <w:p w14:paraId="21AFDC85" w14:textId="77777777" w:rsidR="00025522" w:rsidRPr="00562FEF" w:rsidRDefault="00025522" w:rsidP="00025522">
            <w:pPr>
              <w:bidi w:val="0"/>
              <w:spacing w:after="0" w:line="240" w:lineRule="auto"/>
              <w:jc w:val="right"/>
              <w:rPr>
                <w:rFonts w:ascii="Arial" w:hAnsi="Arial" w:cs="Arial"/>
                <w:sz w:val="20"/>
                <w:szCs w:val="20"/>
                <w:rtl/>
              </w:rPr>
            </w:pPr>
            <w:r w:rsidRPr="00562FEF">
              <w:rPr>
                <w:rFonts w:ascii="Arial" w:hAnsi="Arial" w:cs="Arial"/>
                <w:sz w:val="20"/>
                <w:szCs w:val="20"/>
              </w:rPr>
              <w:t>62%</w:t>
            </w:r>
          </w:p>
        </w:tc>
      </w:tr>
      <w:tr w:rsidR="00025522" w:rsidRPr="00562FEF" w14:paraId="12E9596B" w14:textId="77777777" w:rsidTr="00025522">
        <w:trPr>
          <w:trHeight w:val="250"/>
        </w:trPr>
        <w:tc>
          <w:tcPr>
            <w:tcW w:w="1900" w:type="dxa"/>
            <w:tcBorders>
              <w:top w:val="nil"/>
              <w:left w:val="single" w:sz="8" w:space="0" w:color="auto"/>
              <w:bottom w:val="single" w:sz="4" w:space="0" w:color="auto"/>
              <w:right w:val="single" w:sz="4" w:space="0" w:color="auto"/>
            </w:tcBorders>
            <w:shd w:val="clear" w:color="auto" w:fill="auto"/>
            <w:noWrap/>
            <w:vAlign w:val="bottom"/>
            <w:hideMark/>
          </w:tcPr>
          <w:p w14:paraId="3C3D2178" w14:textId="77777777" w:rsidR="00025522" w:rsidRPr="00562FEF" w:rsidRDefault="00025522" w:rsidP="00025522">
            <w:pPr>
              <w:spacing w:after="0" w:line="240" w:lineRule="auto"/>
              <w:jc w:val="left"/>
              <w:rPr>
                <w:rFonts w:ascii="Arial" w:hAnsi="Arial" w:cs="Arial"/>
                <w:sz w:val="20"/>
                <w:szCs w:val="20"/>
              </w:rPr>
            </w:pPr>
            <w:r w:rsidRPr="00562FEF">
              <w:rPr>
                <w:rFonts w:ascii="Arial" w:hAnsi="Arial" w:cs="Arial"/>
                <w:sz w:val="20"/>
                <w:szCs w:val="20"/>
                <w:rtl/>
              </w:rPr>
              <w:t>שטיפות פה</w:t>
            </w:r>
          </w:p>
        </w:tc>
        <w:tc>
          <w:tcPr>
            <w:tcW w:w="1014" w:type="dxa"/>
            <w:tcBorders>
              <w:top w:val="nil"/>
              <w:left w:val="single" w:sz="4" w:space="0" w:color="auto"/>
              <w:bottom w:val="single" w:sz="4" w:space="0" w:color="auto"/>
              <w:right w:val="single" w:sz="8" w:space="0" w:color="auto"/>
            </w:tcBorders>
            <w:shd w:val="clear" w:color="auto" w:fill="auto"/>
            <w:noWrap/>
            <w:vAlign w:val="bottom"/>
            <w:hideMark/>
          </w:tcPr>
          <w:p w14:paraId="1039C28D" w14:textId="77777777" w:rsidR="00025522" w:rsidRPr="00562FEF" w:rsidRDefault="00025522" w:rsidP="00025522">
            <w:pPr>
              <w:bidi w:val="0"/>
              <w:spacing w:after="0" w:line="240" w:lineRule="auto"/>
              <w:jc w:val="right"/>
              <w:rPr>
                <w:rFonts w:ascii="Arial" w:hAnsi="Arial" w:cs="Arial"/>
                <w:sz w:val="20"/>
                <w:szCs w:val="20"/>
                <w:rtl/>
              </w:rPr>
            </w:pPr>
            <w:r w:rsidRPr="00562FEF">
              <w:rPr>
                <w:rFonts w:ascii="Arial" w:hAnsi="Arial" w:cs="Arial"/>
                <w:sz w:val="20"/>
                <w:szCs w:val="20"/>
              </w:rPr>
              <w:t>74%</w:t>
            </w:r>
          </w:p>
        </w:tc>
      </w:tr>
      <w:tr w:rsidR="00025522" w:rsidRPr="00562FEF" w14:paraId="13616A18" w14:textId="77777777" w:rsidTr="00025522">
        <w:trPr>
          <w:trHeight w:val="260"/>
        </w:trPr>
        <w:tc>
          <w:tcPr>
            <w:tcW w:w="1900" w:type="dxa"/>
            <w:tcBorders>
              <w:top w:val="nil"/>
              <w:left w:val="single" w:sz="8" w:space="0" w:color="auto"/>
              <w:bottom w:val="single" w:sz="8" w:space="0" w:color="auto"/>
              <w:right w:val="single" w:sz="4" w:space="0" w:color="auto"/>
            </w:tcBorders>
            <w:shd w:val="clear" w:color="auto" w:fill="auto"/>
            <w:noWrap/>
            <w:vAlign w:val="bottom"/>
            <w:hideMark/>
          </w:tcPr>
          <w:p w14:paraId="1D180835" w14:textId="77777777" w:rsidR="00025522" w:rsidRPr="00562FEF" w:rsidRDefault="00025522" w:rsidP="00025522">
            <w:pPr>
              <w:spacing w:after="0" w:line="240" w:lineRule="auto"/>
              <w:jc w:val="left"/>
              <w:rPr>
                <w:rFonts w:ascii="Arial" w:hAnsi="Arial" w:cs="Arial"/>
                <w:sz w:val="20"/>
                <w:szCs w:val="20"/>
              </w:rPr>
            </w:pPr>
            <w:r w:rsidRPr="00562FEF">
              <w:rPr>
                <w:rFonts w:ascii="Arial" w:hAnsi="Arial" w:cs="Arial"/>
                <w:sz w:val="20"/>
                <w:szCs w:val="20"/>
                <w:rtl/>
              </w:rPr>
              <w:t>שמפו</w:t>
            </w:r>
          </w:p>
        </w:tc>
        <w:tc>
          <w:tcPr>
            <w:tcW w:w="1014" w:type="dxa"/>
            <w:tcBorders>
              <w:top w:val="nil"/>
              <w:left w:val="single" w:sz="4" w:space="0" w:color="auto"/>
              <w:bottom w:val="single" w:sz="8" w:space="0" w:color="auto"/>
              <w:right w:val="single" w:sz="8" w:space="0" w:color="auto"/>
            </w:tcBorders>
            <w:shd w:val="clear" w:color="auto" w:fill="auto"/>
            <w:noWrap/>
            <w:vAlign w:val="bottom"/>
            <w:hideMark/>
          </w:tcPr>
          <w:p w14:paraId="3DFFA4C8" w14:textId="77777777" w:rsidR="00025522" w:rsidRPr="00562FEF" w:rsidRDefault="00025522" w:rsidP="00025522">
            <w:pPr>
              <w:bidi w:val="0"/>
              <w:spacing w:after="0" w:line="240" w:lineRule="auto"/>
              <w:jc w:val="right"/>
              <w:rPr>
                <w:rFonts w:ascii="Arial" w:hAnsi="Arial" w:cs="Arial"/>
                <w:sz w:val="20"/>
                <w:szCs w:val="20"/>
                <w:rtl/>
              </w:rPr>
            </w:pPr>
            <w:r w:rsidRPr="00562FEF">
              <w:rPr>
                <w:rFonts w:ascii="Arial" w:hAnsi="Arial" w:cs="Arial"/>
                <w:sz w:val="20"/>
                <w:szCs w:val="20"/>
              </w:rPr>
              <w:t>75%</w:t>
            </w:r>
          </w:p>
        </w:tc>
      </w:tr>
    </w:tbl>
    <w:p w14:paraId="45452451" w14:textId="40C138F4" w:rsidR="00025522" w:rsidRPr="00211459" w:rsidRDefault="00562FEF" w:rsidP="00025522">
      <w:pPr>
        <w:pStyle w:val="2"/>
        <w:numPr>
          <w:ilvl w:val="0"/>
          <w:numId w:val="0"/>
        </w:numPr>
        <w:spacing w:line="480" w:lineRule="auto"/>
        <w:rPr>
          <w:rFonts w:ascii="Alef" w:hAnsi="Alef" w:cs="Alef"/>
          <w:sz w:val="4"/>
          <w:szCs w:val="4"/>
          <w:rtl/>
        </w:rPr>
      </w:pPr>
      <w:r w:rsidRPr="00211459">
        <w:rPr>
          <w:rFonts w:ascii="Alef" w:hAnsi="Alef" w:cs="Alef"/>
          <w:sz w:val="4"/>
          <w:szCs w:val="4"/>
          <w:rtl/>
        </w:rPr>
        <w:tab/>
      </w:r>
      <w:r w:rsidRPr="00211459">
        <w:rPr>
          <w:rFonts w:ascii="Alef" w:hAnsi="Alef" w:cs="Alef"/>
          <w:sz w:val="4"/>
          <w:szCs w:val="4"/>
          <w:rtl/>
        </w:rPr>
        <w:tab/>
        <w:t xml:space="preserve"> </w:t>
      </w:r>
    </w:p>
    <w:p w14:paraId="61AF4203" w14:textId="302EC652" w:rsidR="004E7FE8" w:rsidRPr="00404A5F" w:rsidRDefault="00025522" w:rsidP="00CC7209">
      <w:pPr>
        <w:pStyle w:val="2"/>
        <w:numPr>
          <w:ilvl w:val="0"/>
          <w:numId w:val="0"/>
        </w:numPr>
        <w:spacing w:after="0" w:line="480" w:lineRule="auto"/>
        <w:rPr>
          <w:rFonts w:ascii="Alef" w:hAnsi="Alef" w:cs="Alef"/>
          <w:rtl/>
        </w:rPr>
      </w:pPr>
      <w:r>
        <w:rPr>
          <w:rFonts w:ascii="Alef" w:hAnsi="Alef" w:cs="Alef" w:hint="cs"/>
          <w:rtl/>
        </w:rPr>
        <w:t>תרשים</w:t>
      </w:r>
      <w:r w:rsidR="004E7FE8" w:rsidRPr="00A71740">
        <w:rPr>
          <w:rFonts w:ascii="Alef" w:hAnsi="Alef" w:cs="Alef" w:hint="cs"/>
          <w:rtl/>
        </w:rPr>
        <w:t xml:space="preserve"> </w:t>
      </w:r>
      <w:r w:rsidR="00DB5D9E">
        <w:rPr>
          <w:rFonts w:ascii="Alef" w:hAnsi="Alef" w:cs="Alef" w:hint="cs"/>
          <w:rtl/>
        </w:rPr>
        <w:t>4</w:t>
      </w:r>
      <w:r w:rsidR="00DB5D9E" w:rsidRPr="00A71740">
        <w:rPr>
          <w:rFonts w:ascii="Alef" w:hAnsi="Alef" w:cs="Alef" w:hint="cs"/>
          <w:rtl/>
        </w:rPr>
        <w:t xml:space="preserve"> </w:t>
      </w:r>
      <w:r w:rsidR="004E7FE8" w:rsidRPr="00A71740">
        <w:rPr>
          <w:rFonts w:ascii="Alef" w:hAnsi="Alef" w:cs="Alef" w:hint="cs"/>
          <w:rtl/>
        </w:rPr>
        <w:t xml:space="preserve">להלן מציג </w:t>
      </w:r>
      <w:r w:rsidR="00A71740">
        <w:rPr>
          <w:rFonts w:ascii="Alef" w:hAnsi="Alef" w:cs="Alef" w:hint="cs"/>
          <w:rtl/>
        </w:rPr>
        <w:t xml:space="preserve">תמונה דומה. </w:t>
      </w:r>
      <w:r w:rsidR="00404A5F">
        <w:rPr>
          <w:rFonts w:ascii="Alef" w:hAnsi="Alef" w:cs="Alef" w:hint="cs"/>
          <w:rtl/>
        </w:rPr>
        <w:t xml:space="preserve">גרף זה מציג </w:t>
      </w:r>
      <w:r w:rsidR="004E7FE8" w:rsidRPr="00A71740">
        <w:rPr>
          <w:rFonts w:ascii="Alef" w:hAnsi="Alef" w:cs="Alef" w:hint="cs"/>
          <w:rtl/>
        </w:rPr>
        <w:t xml:space="preserve">מדד דומה ל- </w:t>
      </w:r>
      <w:r w:rsidR="00006A78">
        <w:rPr>
          <w:rStyle w:val="FootnoteReference"/>
          <w:rFonts w:ascii="Alef" w:hAnsi="Alef" w:cs="Alef"/>
          <w:rtl/>
        </w:rPr>
        <w:footnoteReference w:id="2"/>
      </w:r>
      <w:r w:rsidR="00006A78">
        <w:rPr>
          <w:rFonts w:ascii="Alef" w:hAnsi="Alef" w:cs="Alef" w:hint="cs"/>
        </w:rPr>
        <w:t>HHI</w:t>
      </w:r>
      <w:r w:rsidR="00006A78">
        <w:rPr>
          <w:rFonts w:ascii="Alef" w:hAnsi="Alef" w:cs="Alef" w:hint="cs"/>
          <w:rtl/>
        </w:rPr>
        <w:t xml:space="preserve"> </w:t>
      </w:r>
      <w:r w:rsidR="004E7FE8" w:rsidRPr="00A71740">
        <w:rPr>
          <w:rFonts w:ascii="Alef" w:hAnsi="Alef" w:cs="Alef" w:hint="cs"/>
          <w:rtl/>
        </w:rPr>
        <w:t>המייצג את מידת הריכוזיות בקרב הספקים ביחס לקטגוריות הגדולות ב</w:t>
      </w:r>
      <w:r w:rsidR="00CC7209">
        <w:rPr>
          <w:rFonts w:ascii="Alef" w:hAnsi="Alef" w:cs="Alef" w:hint="cs"/>
          <w:rtl/>
        </w:rPr>
        <w:t>יותר ב</w:t>
      </w:r>
      <w:r w:rsidR="004E7FE8" w:rsidRPr="00A71740">
        <w:rPr>
          <w:rFonts w:ascii="Alef" w:hAnsi="Alef" w:cs="Alef" w:hint="cs"/>
          <w:rtl/>
        </w:rPr>
        <w:t xml:space="preserve">תחום המזון </w:t>
      </w:r>
      <w:r w:rsidR="00CC7209">
        <w:rPr>
          <w:rFonts w:ascii="Alef" w:hAnsi="Alef" w:cs="Alef" w:hint="cs"/>
          <w:rtl/>
        </w:rPr>
        <w:t xml:space="preserve">(במונחים כספיים) </w:t>
      </w:r>
      <w:r w:rsidR="004E7FE8" w:rsidRPr="00A71740">
        <w:rPr>
          <w:rFonts w:ascii="Alef" w:hAnsi="Alef" w:cs="Alef" w:hint="cs"/>
          <w:rtl/>
        </w:rPr>
        <w:t>בהתבסס על נתוני מכירות לצרכנים ביחס לשנת 2020.</w:t>
      </w:r>
      <w:r w:rsidR="00404A5F">
        <w:rPr>
          <w:rStyle w:val="FootnoteReference"/>
          <w:rFonts w:ascii="Alef" w:hAnsi="Alef" w:cs="Alef"/>
          <w:rtl/>
        </w:rPr>
        <w:footnoteReference w:id="3"/>
      </w:r>
      <w:r w:rsidR="004E7FE8" w:rsidRPr="00A71740">
        <w:rPr>
          <w:rFonts w:ascii="Alef" w:hAnsi="Alef" w:cs="Alef" w:hint="cs"/>
          <w:rtl/>
        </w:rPr>
        <w:t xml:space="preserve"> </w:t>
      </w:r>
      <w:r w:rsidR="004E7FE8" w:rsidRPr="00404A5F">
        <w:rPr>
          <w:rFonts w:ascii="Alef" w:hAnsi="Alef" w:cs="Alef"/>
          <w:rtl/>
        </w:rPr>
        <w:t>ניתוחי הקטגוריות במחקר זה מבוססים על החלוקה האמורה.</w:t>
      </w:r>
      <w:r w:rsidR="004E7FE8" w:rsidRPr="00404A5F">
        <w:rPr>
          <w:rFonts w:ascii="Alef" w:hAnsi="Alef" w:cs="Alef" w:hint="cs"/>
          <w:rtl/>
        </w:rPr>
        <w:t xml:space="preserve"> הקטגוריות צבועות בשלושה צבעים, אדום, צהוב וירוק המסמלים את </w:t>
      </w:r>
      <w:r w:rsidR="00123C47">
        <w:rPr>
          <w:rFonts w:ascii="Alef" w:hAnsi="Alef" w:cs="Alef" w:hint="cs"/>
          <w:rtl/>
        </w:rPr>
        <w:t>רמת</w:t>
      </w:r>
      <w:r w:rsidR="00123C47" w:rsidRPr="00404A5F">
        <w:rPr>
          <w:rFonts w:ascii="Alef" w:hAnsi="Alef" w:cs="Alef" w:hint="cs"/>
          <w:rtl/>
        </w:rPr>
        <w:t xml:space="preserve"> </w:t>
      </w:r>
      <w:r w:rsidR="004E7FE8" w:rsidRPr="00404A5F">
        <w:rPr>
          <w:rFonts w:ascii="Alef" w:hAnsi="Alef" w:cs="Alef" w:hint="cs"/>
          <w:rtl/>
        </w:rPr>
        <w:t>הריכוזיות בקטגוריה.</w:t>
      </w:r>
      <w:r w:rsidR="004E7FE8">
        <w:rPr>
          <w:rStyle w:val="FootnoteReference"/>
          <w:rFonts w:ascii="Alef" w:hAnsi="Alef" w:cs="Alef"/>
          <w:rtl/>
        </w:rPr>
        <w:footnoteReference w:id="4"/>
      </w:r>
      <w:r w:rsidR="004E7FE8" w:rsidRPr="00404A5F">
        <w:rPr>
          <w:rFonts w:ascii="Alef" w:hAnsi="Alef" w:cs="Alef" w:hint="cs"/>
          <w:rtl/>
        </w:rPr>
        <w:t xml:space="preserve"> </w:t>
      </w:r>
    </w:p>
    <w:p w14:paraId="1B845EAF" w14:textId="0A08DDB5" w:rsidR="004E7FE8" w:rsidRPr="005F2F6F" w:rsidRDefault="005F2F6F" w:rsidP="00F44555">
      <w:pPr>
        <w:jc w:val="center"/>
        <w:rPr>
          <w:rFonts w:ascii="Alef" w:hAnsi="Alef" w:cs="Alef"/>
          <w:b/>
          <w:bCs/>
          <w:rtl/>
        </w:rPr>
      </w:pPr>
      <w:r w:rsidRPr="005F2F6F">
        <w:rPr>
          <w:rFonts w:ascii="Alef" w:hAnsi="Alef" w:cs="Alef" w:hint="cs"/>
          <w:b/>
          <w:bCs/>
          <w:rtl/>
        </w:rPr>
        <w:lastRenderedPageBreak/>
        <w:t>תרשים</w:t>
      </w:r>
      <w:r w:rsidR="004E7FE8" w:rsidRPr="005F2F6F">
        <w:rPr>
          <w:rFonts w:ascii="Alef" w:hAnsi="Alef" w:cs="Alef"/>
          <w:b/>
          <w:bCs/>
          <w:rtl/>
        </w:rPr>
        <w:t xml:space="preserve"> </w:t>
      </w:r>
      <w:r w:rsidR="00DB5D9E">
        <w:rPr>
          <w:rFonts w:ascii="Alef" w:hAnsi="Alef" w:cs="Alef" w:hint="cs"/>
          <w:b/>
          <w:bCs/>
          <w:rtl/>
        </w:rPr>
        <w:t>4</w:t>
      </w:r>
      <w:r w:rsidR="004E7FE8" w:rsidRPr="005F2F6F">
        <w:rPr>
          <w:rFonts w:ascii="Alef" w:hAnsi="Alef" w:cs="Alef"/>
          <w:b/>
          <w:bCs/>
          <w:rtl/>
        </w:rPr>
        <w:t>:</w:t>
      </w:r>
      <w:r w:rsidR="00404A5F" w:rsidRPr="005F2F6F">
        <w:rPr>
          <w:rFonts w:ascii="Alef" w:hAnsi="Alef" w:cs="Alef" w:hint="cs"/>
          <w:b/>
          <w:bCs/>
          <w:rtl/>
        </w:rPr>
        <w:t xml:space="preserve"> ממדי ריכוזיות בקטגוריות </w:t>
      </w:r>
      <w:r w:rsidR="00CC7209">
        <w:rPr>
          <w:rFonts w:ascii="Alef" w:hAnsi="Alef" w:cs="Alef" w:hint="cs"/>
          <w:b/>
          <w:bCs/>
          <w:rtl/>
        </w:rPr>
        <w:t>ה</w:t>
      </w:r>
      <w:r w:rsidR="00404A5F" w:rsidRPr="005F2F6F">
        <w:rPr>
          <w:rFonts w:ascii="Alef" w:hAnsi="Alef" w:cs="Alef" w:hint="cs"/>
          <w:b/>
          <w:bCs/>
          <w:rtl/>
        </w:rPr>
        <w:t xml:space="preserve">גדולות בתחום המזון  </w:t>
      </w:r>
      <w:r w:rsidR="00F10D21">
        <w:rPr>
          <w:rFonts w:ascii="Alef" w:hAnsi="Alef" w:cs="Alef"/>
          <w:b/>
          <w:bCs/>
        </w:rPr>
        <w:pict w14:anchorId="1C3A7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84.5pt">
            <v:imagedata r:id="rId16" o:title="chart_hhi_27_categories_2020"/>
          </v:shape>
        </w:pict>
      </w:r>
    </w:p>
    <w:p w14:paraId="40312123" w14:textId="2B2ABA4D" w:rsidR="004E7FE8" w:rsidRDefault="005F2F6F" w:rsidP="00CD583C">
      <w:pPr>
        <w:jc w:val="center"/>
        <w:rPr>
          <w:rFonts w:ascii="Alef" w:hAnsi="Alef" w:cs="Alef"/>
          <w:rtl/>
        </w:rPr>
      </w:pPr>
      <w:r w:rsidRPr="005F2F6F">
        <w:rPr>
          <w:rFonts w:ascii="Alef" w:hAnsi="Alef" w:cs="Alef" w:hint="cs"/>
          <w:b/>
          <w:bCs/>
          <w:rtl/>
        </w:rPr>
        <w:t>תרשים</w:t>
      </w:r>
      <w:r w:rsidRPr="005F2F6F">
        <w:rPr>
          <w:rFonts w:ascii="Alef" w:hAnsi="Alef" w:cs="Alef"/>
          <w:b/>
          <w:bCs/>
          <w:rtl/>
        </w:rPr>
        <w:t xml:space="preserve"> </w:t>
      </w:r>
      <w:r w:rsidR="00DB5D9E">
        <w:rPr>
          <w:rFonts w:ascii="Alef" w:hAnsi="Alef" w:cs="Alef" w:hint="cs"/>
          <w:b/>
          <w:bCs/>
          <w:rtl/>
        </w:rPr>
        <w:t>5</w:t>
      </w:r>
      <w:r w:rsidRPr="005F2F6F">
        <w:rPr>
          <w:rFonts w:ascii="Alef" w:hAnsi="Alef" w:cs="Alef"/>
          <w:b/>
          <w:bCs/>
          <w:rtl/>
        </w:rPr>
        <w:t>:</w:t>
      </w:r>
      <w:r w:rsidRPr="005F2F6F">
        <w:rPr>
          <w:rFonts w:ascii="Alef" w:hAnsi="Alef" w:cs="Alef" w:hint="cs"/>
          <w:b/>
          <w:bCs/>
          <w:rtl/>
        </w:rPr>
        <w:t xml:space="preserve"> ממדי ריכוזיות בקטגוריות גדולות בתחום </w:t>
      </w:r>
      <w:r w:rsidR="00457136">
        <w:rPr>
          <w:rFonts w:ascii="Alef" w:hAnsi="Alef" w:cs="Alef" w:hint="cs"/>
          <w:b/>
          <w:bCs/>
          <w:rtl/>
        </w:rPr>
        <w:t>הטואלטיקה</w:t>
      </w:r>
    </w:p>
    <w:p w14:paraId="0592DB55" w14:textId="2FA371D6" w:rsidR="00457136" w:rsidRPr="00851129" w:rsidRDefault="00F10D21" w:rsidP="00457136">
      <w:pPr>
        <w:jc w:val="center"/>
        <w:rPr>
          <w:rFonts w:ascii="Alef" w:hAnsi="Alef" w:cs="Alef"/>
        </w:rPr>
      </w:pPr>
      <w:r>
        <w:rPr>
          <w:rFonts w:ascii="Alef" w:hAnsi="Alef" w:cs="Alef"/>
        </w:rPr>
        <w:pict w14:anchorId="67CB9678">
          <v:shape id="_x0000_i1026" type="#_x0000_t75" style="width:380.5pt;height:242pt">
            <v:imagedata r:id="rId17" o:title="chart_hhi_3_categories_2020"/>
          </v:shape>
        </w:pict>
      </w:r>
    </w:p>
    <w:p w14:paraId="37D11315" w14:textId="2139E7E1" w:rsidR="004E7FE8" w:rsidRPr="00844FA8" w:rsidRDefault="004E7FE8" w:rsidP="00F44555">
      <w:pPr>
        <w:pStyle w:val="2"/>
        <w:numPr>
          <w:ilvl w:val="0"/>
          <w:numId w:val="0"/>
        </w:numPr>
        <w:spacing w:line="480" w:lineRule="auto"/>
        <w:rPr>
          <w:rFonts w:ascii="Alef" w:hAnsi="Alef" w:cs="Alef"/>
          <w:rtl/>
        </w:rPr>
      </w:pPr>
      <w:r w:rsidRPr="00844FA8">
        <w:rPr>
          <w:rFonts w:ascii="Alef" w:hAnsi="Alef" w:cs="Alef" w:hint="cs"/>
          <w:rtl/>
        </w:rPr>
        <w:t>ניתן</w:t>
      </w:r>
      <w:r w:rsidRPr="00844FA8">
        <w:rPr>
          <w:rFonts w:ascii="Alef" w:hAnsi="Alef" w:cs="Alef"/>
          <w:rtl/>
        </w:rPr>
        <w:t xml:space="preserve"> לראות כי </w:t>
      </w:r>
      <w:r w:rsidR="00F44555">
        <w:rPr>
          <w:rFonts w:ascii="Alef" w:hAnsi="Alef" w:cs="Alef" w:hint="cs"/>
          <w:rtl/>
        </w:rPr>
        <w:t>רוב</w:t>
      </w:r>
      <w:r w:rsidRPr="00844FA8">
        <w:rPr>
          <w:rFonts w:ascii="Alef" w:hAnsi="Alef" w:cs="Alef" w:hint="cs"/>
          <w:rtl/>
        </w:rPr>
        <w:t xml:space="preserve"> הקטגוריות </w:t>
      </w:r>
      <w:r w:rsidR="00F44555">
        <w:rPr>
          <w:rFonts w:ascii="Alef" w:hAnsi="Alef" w:cs="Alef" w:hint="cs"/>
          <w:rtl/>
        </w:rPr>
        <w:t xml:space="preserve">בתחומי המזון והטואלטיקה המצוינים בתרשימים 4 ו-5 שלעיל </w:t>
      </w:r>
      <w:r w:rsidRPr="00844FA8">
        <w:rPr>
          <w:rFonts w:ascii="Alef" w:hAnsi="Alef" w:cs="Alef" w:hint="cs"/>
          <w:rtl/>
        </w:rPr>
        <w:t>נמצאות ברמת ריכוזיות גבוהה מאוד ו</w:t>
      </w:r>
      <w:r w:rsidR="00F44555">
        <w:rPr>
          <w:rFonts w:ascii="Alef" w:hAnsi="Alef" w:cs="Alef" w:hint="cs"/>
          <w:rtl/>
        </w:rPr>
        <w:t xml:space="preserve">רק </w:t>
      </w:r>
      <w:r w:rsidRPr="00844FA8">
        <w:rPr>
          <w:rFonts w:ascii="Alef" w:hAnsi="Alef" w:cs="Alef" w:hint="cs"/>
          <w:rtl/>
        </w:rPr>
        <w:t xml:space="preserve">חלק קטן מהן הן קטגוריות לא ריכוזיות. </w:t>
      </w:r>
    </w:p>
    <w:p w14:paraId="6AD5DE86" w14:textId="706853A4" w:rsidR="00766713" w:rsidRPr="00903A30" w:rsidRDefault="00766713" w:rsidP="00791548">
      <w:pPr>
        <w:pStyle w:val="2"/>
        <w:numPr>
          <w:ilvl w:val="0"/>
          <w:numId w:val="0"/>
        </w:numPr>
        <w:spacing w:line="480" w:lineRule="auto"/>
        <w:rPr>
          <w:rFonts w:ascii="Alef" w:hAnsi="Alef" w:cs="Alef"/>
          <w:rtl/>
          <w:lang w:eastAsia="he-IL"/>
        </w:rPr>
      </w:pPr>
      <w:r w:rsidRPr="00903A30">
        <w:rPr>
          <w:rFonts w:ascii="Alef" w:hAnsi="Alef" w:cs="Alef"/>
          <w:rtl/>
          <w:lang w:eastAsia="he-IL"/>
        </w:rPr>
        <w:lastRenderedPageBreak/>
        <w:t xml:space="preserve">בנסיבות אלו קיימת חשיבות יתרה בהקלה על ייבוא שכן שיעור ההוצאה על יבוא מזון מסך תצרוכת המזון נמוך מאוד </w:t>
      </w:r>
      <w:r w:rsidR="001975D7">
        <w:rPr>
          <w:rFonts w:ascii="Alef" w:hAnsi="Alef" w:cs="Alef" w:hint="cs"/>
          <w:rtl/>
          <w:lang w:eastAsia="he-IL"/>
        </w:rPr>
        <w:t>וגלום</w:t>
      </w:r>
      <w:r w:rsidR="00C63AED">
        <w:rPr>
          <w:rFonts w:ascii="Alef" w:hAnsi="Alef" w:cs="Alef" w:hint="cs"/>
          <w:rtl/>
          <w:lang w:eastAsia="he-IL"/>
        </w:rPr>
        <w:t xml:space="preserve"> </w:t>
      </w:r>
      <w:proofErr w:type="spellStart"/>
      <w:r w:rsidR="00C63AED">
        <w:rPr>
          <w:rFonts w:ascii="Alef" w:hAnsi="Alef" w:cs="Alef" w:hint="cs"/>
          <w:rtl/>
          <w:lang w:eastAsia="he-IL"/>
        </w:rPr>
        <w:t>ברפרומה</w:t>
      </w:r>
      <w:proofErr w:type="spellEnd"/>
      <w:r w:rsidR="00C63AED">
        <w:rPr>
          <w:rFonts w:ascii="Alef" w:hAnsi="Alef" w:cs="Alef" w:hint="cs"/>
          <w:rtl/>
          <w:lang w:eastAsia="he-IL"/>
        </w:rPr>
        <w:t xml:space="preserve"> המוצעת, שצפויה להקל על יבוא מוצרים לישראל,</w:t>
      </w:r>
      <w:r w:rsidR="0086006A">
        <w:rPr>
          <w:rFonts w:ascii="Alef" w:hAnsi="Alef" w:cs="Alef" w:hint="cs"/>
          <w:rtl/>
          <w:lang w:eastAsia="he-IL"/>
        </w:rPr>
        <w:t xml:space="preserve"> </w:t>
      </w:r>
      <w:r w:rsidRPr="00903A30">
        <w:rPr>
          <w:rFonts w:ascii="Alef" w:hAnsi="Alef" w:cs="Alef"/>
          <w:rtl/>
          <w:lang w:eastAsia="he-IL"/>
        </w:rPr>
        <w:t xml:space="preserve">פוטנציאל של ממש </w:t>
      </w:r>
      <w:r w:rsidR="00C63AED">
        <w:rPr>
          <w:rFonts w:ascii="Alef" w:hAnsi="Alef" w:cs="Alef" w:hint="cs"/>
          <w:rtl/>
          <w:lang w:eastAsia="he-IL"/>
        </w:rPr>
        <w:t>ל</w:t>
      </w:r>
      <w:r w:rsidR="00C63AED" w:rsidRPr="00903A30">
        <w:rPr>
          <w:rFonts w:ascii="Alef" w:hAnsi="Alef" w:cs="Alef"/>
          <w:rtl/>
          <w:lang w:eastAsia="he-IL"/>
        </w:rPr>
        <w:t xml:space="preserve">הגברת </w:t>
      </w:r>
      <w:r w:rsidRPr="00903A30">
        <w:rPr>
          <w:rFonts w:ascii="Alef" w:hAnsi="Alef" w:cs="Alef"/>
          <w:rtl/>
          <w:lang w:eastAsia="he-IL"/>
        </w:rPr>
        <w:t xml:space="preserve">התחרות – שצפויה להועיל לצרכן. </w:t>
      </w:r>
    </w:p>
    <w:p w14:paraId="29C6A8FA" w14:textId="67C1028D" w:rsidR="008B0A9F" w:rsidRDefault="0086006A" w:rsidP="00791548">
      <w:pPr>
        <w:pStyle w:val="2"/>
        <w:numPr>
          <w:ilvl w:val="0"/>
          <w:numId w:val="0"/>
        </w:numPr>
        <w:spacing w:line="480" w:lineRule="auto"/>
        <w:rPr>
          <w:rFonts w:ascii="Alef" w:hAnsi="Alef" w:cs="Alef"/>
          <w:rtl/>
          <w:lang w:eastAsia="he-IL"/>
        </w:rPr>
      </w:pPr>
      <w:r>
        <w:rPr>
          <w:rFonts w:ascii="Alef" w:hAnsi="Alef" w:cs="Alef" w:hint="cs"/>
          <w:rtl/>
          <w:lang w:eastAsia="he-IL"/>
        </w:rPr>
        <w:t xml:space="preserve">בהקשר זה חשוב להדגיש כי </w:t>
      </w:r>
      <w:r w:rsidR="00766713" w:rsidRPr="00903A30">
        <w:rPr>
          <w:rFonts w:ascii="Alef" w:hAnsi="Alef" w:cs="Alef"/>
          <w:rtl/>
          <w:lang w:eastAsia="he-IL"/>
        </w:rPr>
        <w:t xml:space="preserve">כל </w:t>
      </w:r>
      <w:proofErr w:type="spellStart"/>
      <w:r w:rsidR="00766713" w:rsidRPr="00903A30">
        <w:rPr>
          <w:rFonts w:ascii="Alef" w:hAnsi="Alef" w:cs="Alef"/>
          <w:rtl/>
          <w:lang w:eastAsia="he-IL"/>
        </w:rPr>
        <w:t>סטיה</w:t>
      </w:r>
      <w:proofErr w:type="spellEnd"/>
      <w:r w:rsidR="00766713" w:rsidRPr="00903A30">
        <w:rPr>
          <w:rFonts w:ascii="Alef" w:hAnsi="Alef" w:cs="Alef"/>
          <w:rtl/>
          <w:lang w:eastAsia="he-IL"/>
        </w:rPr>
        <w:t xml:space="preserve"> מן המקובל </w:t>
      </w:r>
      <w:r>
        <w:rPr>
          <w:rFonts w:ascii="Alef" w:hAnsi="Alef" w:cs="Alef" w:hint="cs"/>
          <w:rtl/>
          <w:lang w:eastAsia="he-IL"/>
        </w:rPr>
        <w:t>בעולם מ</w:t>
      </w:r>
      <w:r w:rsidR="00766713" w:rsidRPr="00903A30">
        <w:rPr>
          <w:rFonts w:ascii="Alef" w:hAnsi="Alef" w:cs="Alef"/>
          <w:rtl/>
          <w:lang w:eastAsia="he-IL"/>
        </w:rPr>
        <w:t>קשה על יבוא מוצרים לישראל ולכן נודעת חשיבות רבה להתאמ</w:t>
      </w:r>
      <w:r w:rsidR="009708EF">
        <w:rPr>
          <w:rFonts w:ascii="Alef" w:hAnsi="Alef" w:cs="Alef" w:hint="cs"/>
          <w:rtl/>
          <w:lang w:eastAsia="he-IL"/>
        </w:rPr>
        <w:t>ה</w:t>
      </w:r>
      <w:r w:rsidR="00766713" w:rsidRPr="00903A30">
        <w:rPr>
          <w:rFonts w:ascii="Alef" w:hAnsi="Alef" w:cs="Alef"/>
          <w:rtl/>
          <w:lang w:eastAsia="he-IL"/>
        </w:rPr>
        <w:t xml:space="preserve"> למקובל בעולם. </w:t>
      </w:r>
      <w:r w:rsidR="008B0A9F">
        <w:rPr>
          <w:rFonts w:ascii="Alef" w:hAnsi="Alef" w:cs="Alef" w:hint="cs"/>
          <w:rtl/>
          <w:lang w:eastAsia="he-IL"/>
        </w:rPr>
        <w:t>יצירת מסלול שיאפשר הן ליבואנים, קטנים וגדולים כאחד, ובייחוד ליבואנים המקבילים לי</w:t>
      </w:r>
      <w:r w:rsidR="009708EF">
        <w:rPr>
          <w:rFonts w:ascii="Alef" w:hAnsi="Alef" w:cs="Alef" w:hint="cs"/>
          <w:rtl/>
          <w:lang w:eastAsia="he-IL"/>
        </w:rPr>
        <w:t>י</w:t>
      </w:r>
      <w:r w:rsidR="008B0A9F">
        <w:rPr>
          <w:rFonts w:ascii="Alef" w:hAnsi="Alef" w:cs="Alef" w:hint="cs"/>
          <w:rtl/>
          <w:lang w:eastAsia="he-IL"/>
        </w:rPr>
        <w:t>בא מוצרים בקלות</w:t>
      </w:r>
      <w:r w:rsidR="009708EF">
        <w:rPr>
          <w:rFonts w:ascii="Alef" w:hAnsi="Alef" w:cs="Alef" w:hint="cs"/>
          <w:rtl/>
          <w:lang w:eastAsia="he-IL"/>
        </w:rPr>
        <w:t>,</w:t>
      </w:r>
      <w:r w:rsidR="008B0A9F">
        <w:rPr>
          <w:rFonts w:ascii="Alef" w:hAnsi="Alef" w:cs="Alef" w:hint="cs"/>
          <w:rtl/>
          <w:lang w:eastAsia="he-IL"/>
        </w:rPr>
        <w:t xml:space="preserve"> </w:t>
      </w:r>
      <w:r w:rsidR="00123C47">
        <w:rPr>
          <w:rFonts w:ascii="Alef" w:hAnsi="Alef" w:cs="Alef" w:hint="cs"/>
          <w:rtl/>
          <w:lang w:eastAsia="he-IL"/>
        </w:rPr>
        <w:t>צפויה להו</w:t>
      </w:r>
      <w:r w:rsidR="008B0A9F">
        <w:rPr>
          <w:rFonts w:ascii="Alef" w:hAnsi="Alef" w:cs="Alef" w:hint="cs"/>
          <w:rtl/>
          <w:lang w:eastAsia="he-IL"/>
        </w:rPr>
        <w:t>זיל עלויות ו</w:t>
      </w:r>
      <w:r w:rsidR="00123C47">
        <w:rPr>
          <w:rFonts w:ascii="Alef" w:hAnsi="Alef" w:cs="Alef" w:hint="cs"/>
          <w:rtl/>
          <w:lang w:eastAsia="he-IL"/>
        </w:rPr>
        <w:t>ל</w:t>
      </w:r>
      <w:r w:rsidR="008B0A9F">
        <w:rPr>
          <w:rFonts w:ascii="Alef" w:hAnsi="Alef" w:cs="Alef" w:hint="cs"/>
          <w:rtl/>
          <w:lang w:eastAsia="he-IL"/>
        </w:rPr>
        <w:t xml:space="preserve">אפשר כניסה של שחקנים חדשים.  </w:t>
      </w:r>
    </w:p>
    <w:p w14:paraId="3FB74673" w14:textId="6E8C9731" w:rsidR="00333210" w:rsidRDefault="00333210" w:rsidP="00333210">
      <w:pPr>
        <w:pStyle w:val="2"/>
        <w:numPr>
          <w:ilvl w:val="0"/>
          <w:numId w:val="0"/>
        </w:numPr>
        <w:spacing w:line="480" w:lineRule="auto"/>
        <w:ind w:left="-58"/>
        <w:rPr>
          <w:rFonts w:ascii="Alef" w:hAnsi="Alef" w:cs="Alef"/>
          <w:b/>
          <w:bCs/>
          <w:sz w:val="28"/>
          <w:szCs w:val="28"/>
          <w:rtl/>
        </w:rPr>
      </w:pPr>
      <w:r w:rsidRPr="00333210">
        <w:rPr>
          <w:rFonts w:ascii="Alef" w:hAnsi="Alef" w:cs="Alef" w:hint="cs"/>
          <w:b/>
          <w:bCs/>
          <w:sz w:val="28"/>
          <w:szCs w:val="28"/>
          <w:rtl/>
        </w:rPr>
        <w:t>ב</w:t>
      </w:r>
      <w:r w:rsidR="00BE4C6A">
        <w:rPr>
          <w:rFonts w:ascii="Alef" w:hAnsi="Alef" w:cs="Alef" w:hint="cs"/>
          <w:b/>
          <w:bCs/>
          <w:sz w:val="28"/>
          <w:szCs w:val="28"/>
          <w:rtl/>
        </w:rPr>
        <w:t>.2.</w:t>
      </w:r>
      <w:r w:rsidRPr="00333210">
        <w:rPr>
          <w:rFonts w:ascii="Alef" w:hAnsi="Alef" w:cs="Alef" w:hint="cs"/>
          <w:b/>
          <w:bCs/>
          <w:sz w:val="28"/>
          <w:szCs w:val="28"/>
          <w:rtl/>
        </w:rPr>
        <w:t xml:space="preserve"> </w:t>
      </w:r>
      <w:r w:rsidRPr="00333210">
        <w:rPr>
          <w:rFonts w:ascii="Alef" w:hAnsi="Alef" w:cs="Alef"/>
          <w:b/>
          <w:bCs/>
          <w:sz w:val="28"/>
          <w:szCs w:val="28"/>
          <w:rtl/>
        </w:rPr>
        <w:t>ייבוא מוצרים שחייבים בעמידה בתקן</w:t>
      </w:r>
    </w:p>
    <w:p w14:paraId="0AD886FC" w14:textId="78C16989" w:rsidR="001F0EF9" w:rsidRPr="00903A30" w:rsidRDefault="001F0EF9" w:rsidP="00791548">
      <w:pPr>
        <w:pStyle w:val="2"/>
        <w:numPr>
          <w:ilvl w:val="0"/>
          <w:numId w:val="0"/>
        </w:numPr>
        <w:spacing w:line="480" w:lineRule="auto"/>
        <w:rPr>
          <w:rFonts w:ascii="Alef" w:hAnsi="Alef" w:cs="Alef"/>
          <w:rtl/>
          <w:lang w:eastAsia="he-IL"/>
        </w:rPr>
      </w:pPr>
      <w:r w:rsidRPr="00903A30">
        <w:rPr>
          <w:rFonts w:ascii="Alef" w:hAnsi="Alef" w:cs="Alef"/>
          <w:rtl/>
          <w:lang w:eastAsia="he-IL"/>
        </w:rPr>
        <w:t>משטר אכיפת התקנים הנוכחי בשלב יבוא הטובין משית עלות משמעותית על המשק, מוביל להגבהת חסמי הייבוא ולצמצום התחרות. העלויות הנובעות ממשטר האכיפה הנוכחי הן עלויות קבועות ברובן, כלומר הן אינן מושפעות מהיקף הטובין המיובאים. לכן, עלויות אלו משמעותיות יותר עבור טובין המיובאים בכמות קטנה. לפיכך, משטר האכיפה הנוכחי מקשה יותר על פעילותם של יבואנים קטנים ובינוניים לעומת יבואנים גדולים ובכך גור</w:t>
      </w:r>
      <w:r w:rsidR="009708EF">
        <w:rPr>
          <w:rFonts w:ascii="Alef" w:hAnsi="Alef" w:cs="Alef" w:hint="cs"/>
          <w:rtl/>
          <w:lang w:eastAsia="he-IL"/>
        </w:rPr>
        <w:t>ם</w:t>
      </w:r>
      <w:r w:rsidRPr="00903A30">
        <w:rPr>
          <w:rFonts w:ascii="Alef" w:hAnsi="Alef" w:cs="Alef"/>
          <w:rtl/>
          <w:lang w:eastAsia="he-IL"/>
        </w:rPr>
        <w:t xml:space="preserve"> להגבהת חסמי כניסה וצמצום התחרות. רשות התחרות אף </w:t>
      </w:r>
      <w:r>
        <w:rPr>
          <w:rFonts w:ascii="Alef" w:hAnsi="Alef" w:cs="Alef" w:hint="cs"/>
          <w:rtl/>
          <w:lang w:eastAsia="he-IL"/>
        </w:rPr>
        <w:t>ערכה</w:t>
      </w:r>
      <w:r w:rsidRPr="00903A30">
        <w:rPr>
          <w:rFonts w:ascii="Alef" w:hAnsi="Alef" w:cs="Alef"/>
          <w:rtl/>
          <w:lang w:eastAsia="he-IL"/>
        </w:rPr>
        <w:t xml:space="preserve"> בדיקה בעניין זה </w:t>
      </w:r>
      <w:r>
        <w:rPr>
          <w:rFonts w:ascii="Alef" w:hAnsi="Alef" w:cs="Alef" w:hint="cs"/>
          <w:rtl/>
          <w:lang w:eastAsia="he-IL"/>
        </w:rPr>
        <w:t xml:space="preserve">ופרסמה את ממצאיה </w:t>
      </w:r>
      <w:r w:rsidRPr="00903A30">
        <w:rPr>
          <w:rFonts w:ascii="Alef" w:hAnsi="Alef" w:cs="Alef"/>
          <w:rtl/>
          <w:lang w:eastAsia="he-IL"/>
        </w:rPr>
        <w:t>בנוגע לאופן שבו נאכפים התקנים הרשמיים בישראל ולהשפעה של אופן בדיקה זה על התחרות ועל יוקר המחייה.</w:t>
      </w:r>
      <w:r>
        <w:rPr>
          <w:rStyle w:val="FootnoteReference"/>
          <w:rFonts w:ascii="Alef" w:hAnsi="Alef" w:cs="Alef"/>
          <w:rtl/>
          <w:lang w:eastAsia="he-IL"/>
        </w:rPr>
        <w:footnoteReference w:id="5"/>
      </w:r>
    </w:p>
    <w:p w14:paraId="2FBF1D88" w14:textId="77777777" w:rsidR="001F0EF9" w:rsidRPr="00903A30" w:rsidRDefault="001F0EF9" w:rsidP="00791548">
      <w:pPr>
        <w:pStyle w:val="2"/>
        <w:numPr>
          <w:ilvl w:val="0"/>
          <w:numId w:val="0"/>
        </w:numPr>
        <w:spacing w:line="480" w:lineRule="auto"/>
        <w:rPr>
          <w:rFonts w:ascii="Alef" w:hAnsi="Alef" w:cs="Alef"/>
          <w:rtl/>
          <w:lang w:eastAsia="he-IL"/>
        </w:rPr>
      </w:pPr>
      <w:r w:rsidRPr="00903A30">
        <w:rPr>
          <w:rFonts w:ascii="Alef" w:hAnsi="Alef" w:cs="Alef"/>
          <w:rtl/>
          <w:lang w:eastAsia="he-IL"/>
        </w:rPr>
        <w:t xml:space="preserve">רשות התחרות סבורה כי שינוי החקיקה המוצע בסעיף זה צפוי להקל </w:t>
      </w:r>
      <w:r>
        <w:rPr>
          <w:rFonts w:ascii="Alef" w:hAnsi="Alef" w:cs="Alef" w:hint="cs"/>
          <w:rtl/>
          <w:lang w:eastAsia="he-IL"/>
        </w:rPr>
        <w:t xml:space="preserve">באופן משמעותי </w:t>
      </w:r>
      <w:r w:rsidRPr="00903A30">
        <w:rPr>
          <w:rFonts w:ascii="Alef" w:hAnsi="Alef" w:cs="Alef"/>
          <w:rtl/>
          <w:lang w:eastAsia="he-IL"/>
        </w:rPr>
        <w:t xml:space="preserve">על יבוא טובין לישראל וצפוי להוזיל את מחירם של המוצרים המיובאים ולהרחיב את המגוון שלהם. </w:t>
      </w:r>
    </w:p>
    <w:p w14:paraId="51DCB5C9" w14:textId="77777777" w:rsidR="001F0EF9" w:rsidRPr="00903A30" w:rsidRDefault="001F0EF9" w:rsidP="00791548">
      <w:pPr>
        <w:pStyle w:val="2"/>
        <w:numPr>
          <w:ilvl w:val="0"/>
          <w:numId w:val="0"/>
        </w:numPr>
        <w:spacing w:line="480" w:lineRule="auto"/>
        <w:rPr>
          <w:rFonts w:ascii="Alef" w:hAnsi="Alef" w:cs="Alef"/>
          <w:lang w:eastAsia="he-IL"/>
        </w:rPr>
      </w:pPr>
      <w:r w:rsidRPr="00903A30">
        <w:rPr>
          <w:rFonts w:ascii="Alef" w:hAnsi="Alef" w:cs="Alef"/>
          <w:rtl/>
          <w:lang w:eastAsia="he-IL"/>
        </w:rPr>
        <w:lastRenderedPageBreak/>
        <w:t xml:space="preserve">המהלך המוצע בסעיף זה נועד לצמצם רגולציה שחלה על התחום במשך שנים ארוכות. מדובר במהלך מבורך שרשות התחרות תומכת בו. במקביל ליישום המהלך, </w:t>
      </w:r>
      <w:r>
        <w:rPr>
          <w:rFonts w:ascii="Alef" w:hAnsi="Alef" w:cs="Alef" w:hint="cs"/>
          <w:rtl/>
          <w:lang w:eastAsia="he-IL"/>
        </w:rPr>
        <w:t xml:space="preserve">ומתוך תפיסה לפיה רגולציה חכמה צריכה להעדיף פיקוח בדיעבד ולא פיקוח מראש, </w:t>
      </w:r>
      <w:r w:rsidRPr="00903A30">
        <w:rPr>
          <w:rFonts w:ascii="Alef" w:hAnsi="Alef" w:cs="Alef"/>
          <w:rtl/>
          <w:lang w:eastAsia="he-IL"/>
        </w:rPr>
        <w:t>אנו סבורים שחשוב לפעול להבטחת יכולתה של המדינה להמשיך לשמור על בטיחות ובריאות הציבור בדרך של אכיפה בשווקים, באופן דומה לדרך הפעולה של מדינות מפותחות בעולם. לשם כך, נ</w:t>
      </w:r>
      <w:r>
        <w:rPr>
          <w:rFonts w:ascii="Alef" w:hAnsi="Alef" w:cs="Alef" w:hint="cs"/>
          <w:rtl/>
          <w:lang w:eastAsia="he-IL"/>
        </w:rPr>
        <w:t>דרש</w:t>
      </w:r>
      <w:r w:rsidRPr="00903A30">
        <w:rPr>
          <w:rFonts w:ascii="Alef" w:hAnsi="Alef" w:cs="Alef"/>
          <w:rtl/>
          <w:lang w:eastAsia="he-IL"/>
        </w:rPr>
        <w:t xml:space="preserve"> לחזק את מערך האכיפה וכוח ההרתעה שבידי הממונה על התקינה, אם בדרך של הוספת כוח אדם בעל ההכשרה המתאימה ואם בדרך של חיזוק סמכויותיו על פי חוק, ככל שנדרש. </w:t>
      </w:r>
    </w:p>
    <w:p w14:paraId="1B36AF85" w14:textId="357898D9" w:rsidR="001F0EF9" w:rsidRPr="00903A30" w:rsidRDefault="00BE4C6A" w:rsidP="00BE4C6A">
      <w:pPr>
        <w:pStyle w:val="2"/>
        <w:numPr>
          <w:ilvl w:val="0"/>
          <w:numId w:val="0"/>
        </w:numPr>
        <w:spacing w:line="480" w:lineRule="auto"/>
        <w:ind w:left="720"/>
        <w:rPr>
          <w:rFonts w:ascii="Alef" w:hAnsi="Alef" w:cs="Alef"/>
          <w:b/>
          <w:bCs/>
          <w:sz w:val="28"/>
          <w:szCs w:val="28"/>
          <w:u w:val="single"/>
          <w:rtl/>
        </w:rPr>
      </w:pPr>
      <w:r>
        <w:rPr>
          <w:rFonts w:ascii="Alef" w:hAnsi="Alef" w:cs="Alef" w:hint="cs"/>
          <w:b/>
          <w:bCs/>
          <w:sz w:val="28"/>
          <w:szCs w:val="28"/>
          <w:u w:val="single"/>
          <w:rtl/>
        </w:rPr>
        <w:t xml:space="preserve">ב.3. </w:t>
      </w:r>
      <w:r w:rsidR="001F0EF9" w:rsidRPr="00903A30">
        <w:rPr>
          <w:rFonts w:ascii="Alef" w:hAnsi="Alef" w:cs="Alef"/>
          <w:b/>
          <w:bCs/>
          <w:sz w:val="28"/>
          <w:szCs w:val="28"/>
          <w:u w:val="single"/>
          <w:rtl/>
        </w:rPr>
        <w:t>תקנים מחייבים</w:t>
      </w:r>
    </w:p>
    <w:p w14:paraId="1BF85071" w14:textId="1EBBBFF9" w:rsidR="001F0EF9" w:rsidRDefault="001F0EF9" w:rsidP="00791548">
      <w:pPr>
        <w:pStyle w:val="2"/>
        <w:numPr>
          <w:ilvl w:val="0"/>
          <w:numId w:val="0"/>
        </w:numPr>
        <w:spacing w:line="480" w:lineRule="auto"/>
        <w:rPr>
          <w:rFonts w:ascii="Alef" w:hAnsi="Alef" w:cs="Alef"/>
          <w:rtl/>
          <w:lang w:eastAsia="he-IL"/>
        </w:rPr>
      </w:pPr>
      <w:r w:rsidRPr="00903A30">
        <w:rPr>
          <w:rFonts w:ascii="Alef" w:hAnsi="Alef" w:cs="Alef"/>
          <w:rtl/>
          <w:lang w:eastAsia="he-IL"/>
        </w:rPr>
        <w:t>במצב הנוכחי תקנים וולונטריים רבים זוכים למעמד של תקנה מחייבת גם ללא הכרז</w:t>
      </w:r>
      <w:r w:rsidR="00D54343">
        <w:rPr>
          <w:rFonts w:ascii="Alef" w:hAnsi="Alef" w:cs="Alef" w:hint="cs"/>
          <w:rtl/>
          <w:lang w:eastAsia="he-IL"/>
        </w:rPr>
        <w:t>ו</w:t>
      </w:r>
      <w:r w:rsidRPr="00903A30">
        <w:rPr>
          <w:rFonts w:ascii="Alef" w:hAnsi="Alef" w:cs="Alef"/>
          <w:rtl/>
          <w:lang w:eastAsia="he-IL"/>
        </w:rPr>
        <w:t xml:space="preserve">ת רשמיות מאת שר הכלכלה והתעשייה, זאת כאשר הם נכללים בדברי חקיקה. בכך הופכים תקנים אלו ל"תקנים מחייבים" אף שלא הוכרזו כרשמיים ולא עברו את התהליכים שנקבעו להתאמת תקנים ישראליים לתקינה הבינלאומית. </w:t>
      </w:r>
    </w:p>
    <w:p w14:paraId="2032D1B3" w14:textId="565E2878" w:rsidR="001F0EF9" w:rsidRPr="00903A30" w:rsidRDefault="001F0EF9" w:rsidP="00791548">
      <w:pPr>
        <w:pStyle w:val="2"/>
        <w:numPr>
          <w:ilvl w:val="0"/>
          <w:numId w:val="0"/>
        </w:numPr>
        <w:spacing w:line="480" w:lineRule="auto"/>
        <w:rPr>
          <w:rFonts w:ascii="Alef" w:hAnsi="Alef" w:cs="Alef"/>
          <w:rtl/>
          <w:lang w:eastAsia="he-IL"/>
        </w:rPr>
      </w:pPr>
      <w:r>
        <w:rPr>
          <w:rFonts w:ascii="Alef" w:hAnsi="Alef" w:cs="Alef" w:hint="cs"/>
          <w:rtl/>
          <w:lang w:eastAsia="he-IL"/>
        </w:rPr>
        <w:t>התקינה המחייבת בישראל היא פעמים רבות תקינה ייחודית, אשר נקבעת לע</w:t>
      </w:r>
      <w:r w:rsidR="005B1F7E">
        <w:rPr>
          <w:rFonts w:ascii="Alef" w:hAnsi="Alef" w:cs="Alef" w:hint="cs"/>
          <w:rtl/>
          <w:lang w:eastAsia="he-IL"/>
        </w:rPr>
        <w:t>י</w:t>
      </w:r>
      <w:r>
        <w:rPr>
          <w:rFonts w:ascii="Alef" w:hAnsi="Alef" w:cs="Alef" w:hint="cs"/>
          <w:rtl/>
          <w:lang w:eastAsia="he-IL"/>
        </w:rPr>
        <w:t xml:space="preserve">תים ללא הצדקה מספקת ומבלי שנשקלו השלכותיה על התחרות ועל המשק הישראלי בכללותו. </w:t>
      </w:r>
      <w:r w:rsidRPr="00903A30">
        <w:rPr>
          <w:rFonts w:ascii="Alef" w:hAnsi="Alef" w:cs="Alef"/>
          <w:rtl/>
          <w:lang w:eastAsia="he-IL"/>
        </w:rPr>
        <w:t xml:space="preserve"> </w:t>
      </w:r>
      <w:r>
        <w:rPr>
          <w:rFonts w:ascii="Alef" w:hAnsi="Alef" w:cs="Alef" w:hint="cs"/>
          <w:rtl/>
          <w:lang w:eastAsia="he-IL"/>
        </w:rPr>
        <w:t>רשות התחרות נתקלת פעמים רבות במקרים בהם תקינה מחייבת יוצרת חסמי יבוא ובכך מביאה לפגיעה בתחרות.</w:t>
      </w:r>
    </w:p>
    <w:p w14:paraId="58A380EA" w14:textId="77777777" w:rsidR="001F0EF9" w:rsidRDefault="001F0EF9" w:rsidP="00791548">
      <w:pPr>
        <w:pStyle w:val="2"/>
        <w:numPr>
          <w:ilvl w:val="0"/>
          <w:numId w:val="0"/>
        </w:numPr>
        <w:spacing w:line="480" w:lineRule="auto"/>
        <w:rPr>
          <w:rFonts w:ascii="Alef" w:hAnsi="Alef" w:cs="Alef"/>
          <w:rtl/>
          <w:lang w:eastAsia="he-IL"/>
        </w:rPr>
      </w:pPr>
      <w:r w:rsidRPr="00903A30">
        <w:rPr>
          <w:rFonts w:ascii="Alef" w:hAnsi="Alef" w:cs="Alef"/>
          <w:rtl/>
          <w:lang w:eastAsia="he-IL"/>
        </w:rPr>
        <w:t xml:space="preserve">הרשות </w:t>
      </w:r>
      <w:r>
        <w:rPr>
          <w:rFonts w:ascii="Alef" w:hAnsi="Alef" w:cs="Alef" w:hint="cs"/>
          <w:rtl/>
          <w:lang w:eastAsia="he-IL"/>
        </w:rPr>
        <w:t>סבורה כי ההצעה שנכללה בטיוטות ההחלטה הקודמות ושנועדה להתמודד עם חסמי היבוא שנוצרים על ידי תקינה מחייבת, אך הושמטה מנוסח ההחלטה שפורסם ביום 22 ביולי 2021, היא נדבך מהותי וחשוב בהשלמת הרפורמה להסרת חסמי יבוא והגברת התחרות</w:t>
      </w:r>
      <w:r w:rsidRPr="00903A30">
        <w:rPr>
          <w:rFonts w:ascii="Alef" w:hAnsi="Alef" w:cs="Alef"/>
          <w:rtl/>
          <w:lang w:eastAsia="he-IL"/>
        </w:rPr>
        <w:t>.</w:t>
      </w:r>
      <w:r>
        <w:rPr>
          <w:rFonts w:ascii="Alef" w:hAnsi="Alef" w:cs="Alef" w:hint="cs"/>
          <w:rtl/>
          <w:lang w:eastAsia="he-IL"/>
        </w:rPr>
        <w:t xml:space="preserve"> </w:t>
      </w:r>
    </w:p>
    <w:p w14:paraId="5DA45F59" w14:textId="77777777" w:rsidR="00000F5C" w:rsidRDefault="001F0EF9" w:rsidP="00000F5C">
      <w:pPr>
        <w:pStyle w:val="2"/>
        <w:numPr>
          <w:ilvl w:val="0"/>
          <w:numId w:val="0"/>
        </w:numPr>
        <w:spacing w:line="480" w:lineRule="auto"/>
        <w:ind w:left="84"/>
        <w:rPr>
          <w:rFonts w:ascii="Alef" w:hAnsi="Alef" w:cs="Alef"/>
          <w:rtl/>
          <w:lang w:eastAsia="he-IL"/>
        </w:rPr>
      </w:pPr>
      <w:r>
        <w:rPr>
          <w:rFonts w:ascii="Alef" w:hAnsi="Alef" w:cs="Alef" w:hint="cs"/>
          <w:rtl/>
          <w:lang w:eastAsia="he-IL"/>
        </w:rPr>
        <w:lastRenderedPageBreak/>
        <w:t>הרשות סבורה כי יש לקבוע הוראות דומות לאלו שנקבעו בטיוטות ההחלטה הקודמות, שמטרתן להפחית את חסמי היבוא הרבים הנובעים מהתקינה המחייבת הייחודית לישראל, ואשר יכללו בין היתר:</w:t>
      </w:r>
    </w:p>
    <w:p w14:paraId="0B300344" w14:textId="4041512A" w:rsidR="006575CE" w:rsidRDefault="001F0EF9" w:rsidP="00000F5C">
      <w:pPr>
        <w:pStyle w:val="2"/>
        <w:numPr>
          <w:ilvl w:val="0"/>
          <w:numId w:val="8"/>
        </w:numPr>
        <w:spacing w:line="480" w:lineRule="auto"/>
        <w:rPr>
          <w:rFonts w:ascii="Alef" w:hAnsi="Alef" w:cs="Alef"/>
          <w:lang w:eastAsia="he-IL"/>
        </w:rPr>
      </w:pPr>
      <w:r>
        <w:rPr>
          <w:rFonts w:ascii="Alef" w:hAnsi="Alef" w:cs="Alef" w:hint="cs"/>
          <w:rtl/>
          <w:lang w:eastAsia="he-IL"/>
        </w:rPr>
        <w:t>קביעת מנגנון החלטה מיוחד למקרים בהם גורם מוסמך י</w:t>
      </w:r>
      <w:r w:rsidRPr="00903A30">
        <w:rPr>
          <w:rFonts w:ascii="Alef" w:hAnsi="Alef" w:cs="Alef"/>
          <w:rtl/>
          <w:lang w:eastAsia="he-IL"/>
        </w:rPr>
        <w:t xml:space="preserve">בקש לקבוע תקן ישראלי שאינו מבוסס על תקינה בינלאומית כתקן מחייב, </w:t>
      </w:r>
      <w:r>
        <w:rPr>
          <w:rFonts w:ascii="Alef" w:hAnsi="Alef" w:cs="Alef" w:hint="cs"/>
          <w:rtl/>
          <w:lang w:eastAsia="he-IL"/>
        </w:rPr>
        <w:t xml:space="preserve">לרבות התייחסות לצורך </w:t>
      </w:r>
      <w:r w:rsidRPr="00903A30">
        <w:rPr>
          <w:rFonts w:ascii="Alef" w:hAnsi="Alef" w:cs="Alef"/>
          <w:rtl/>
          <w:lang w:eastAsia="he-IL"/>
        </w:rPr>
        <w:t xml:space="preserve">לשקול </w:t>
      </w:r>
      <w:r>
        <w:rPr>
          <w:rFonts w:ascii="Alef" w:hAnsi="Alef" w:cs="Alef" w:hint="cs"/>
          <w:rtl/>
          <w:lang w:eastAsia="he-IL"/>
        </w:rPr>
        <w:t>שיקולי תחרות במסגרת החלטה זו.</w:t>
      </w:r>
    </w:p>
    <w:p w14:paraId="4B7F6560" w14:textId="6157ECEA" w:rsidR="007F7CF6" w:rsidRDefault="001F0EF9" w:rsidP="006575CE">
      <w:pPr>
        <w:pStyle w:val="2"/>
        <w:numPr>
          <w:ilvl w:val="0"/>
          <w:numId w:val="8"/>
        </w:numPr>
        <w:spacing w:line="480" w:lineRule="auto"/>
        <w:rPr>
          <w:rFonts w:ascii="Alef" w:hAnsi="Alef" w:cs="Alef"/>
          <w:rtl/>
          <w:lang w:eastAsia="he-IL"/>
        </w:rPr>
      </w:pPr>
      <w:r w:rsidRPr="006575CE">
        <w:rPr>
          <w:rFonts w:ascii="Alef" w:hAnsi="Alef" w:cs="Alef" w:hint="cs"/>
          <w:rtl/>
          <w:lang w:eastAsia="he-IL"/>
        </w:rPr>
        <w:t xml:space="preserve">מהלך של </w:t>
      </w:r>
      <w:r w:rsidRPr="006575CE">
        <w:rPr>
          <w:rFonts w:ascii="Alef" w:hAnsi="Alef" w:cs="Alef"/>
          <w:rtl/>
          <w:lang w:eastAsia="he-IL"/>
        </w:rPr>
        <w:t xml:space="preserve">מיפוי </w:t>
      </w:r>
      <w:r w:rsidRPr="006575CE">
        <w:rPr>
          <w:rFonts w:ascii="Alef" w:hAnsi="Alef" w:cs="Alef" w:hint="cs"/>
          <w:rtl/>
          <w:lang w:eastAsia="he-IL"/>
        </w:rPr>
        <w:t xml:space="preserve">כלל </w:t>
      </w:r>
      <w:r w:rsidRPr="006575CE">
        <w:rPr>
          <w:rFonts w:ascii="Alef" w:hAnsi="Alef" w:cs="Alef"/>
          <w:rtl/>
          <w:lang w:eastAsia="he-IL"/>
        </w:rPr>
        <w:t xml:space="preserve">התקנים המחייבים </w:t>
      </w:r>
      <w:r w:rsidRPr="006575CE">
        <w:rPr>
          <w:rFonts w:ascii="Alef" w:hAnsi="Alef" w:cs="Alef" w:hint="cs"/>
          <w:rtl/>
          <w:lang w:eastAsia="he-IL"/>
        </w:rPr>
        <w:t>בישראל</w:t>
      </w:r>
      <w:r>
        <w:rPr>
          <w:rStyle w:val="FootnoteReference"/>
          <w:rFonts w:ascii="Alef" w:hAnsi="Alef" w:cs="Alef"/>
          <w:rtl/>
          <w:lang w:eastAsia="he-IL"/>
        </w:rPr>
        <w:footnoteReference w:id="6"/>
      </w:r>
      <w:r w:rsidRPr="006575CE">
        <w:rPr>
          <w:rFonts w:ascii="Alef" w:hAnsi="Alef" w:cs="Alef" w:hint="cs"/>
          <w:rtl/>
          <w:lang w:eastAsia="he-IL"/>
        </w:rPr>
        <w:t xml:space="preserve"> </w:t>
      </w:r>
      <w:r w:rsidRPr="006575CE">
        <w:rPr>
          <w:rFonts w:ascii="Alef" w:hAnsi="Alef" w:cs="Alef"/>
          <w:rtl/>
          <w:lang w:eastAsia="he-IL"/>
        </w:rPr>
        <w:t>והתאמתם לתקינה הבינלאומית המקובלת</w:t>
      </w:r>
      <w:r w:rsidRPr="006575CE">
        <w:rPr>
          <w:rFonts w:ascii="Alef" w:hAnsi="Alef" w:cs="Alef" w:hint="cs"/>
          <w:rtl/>
          <w:lang w:eastAsia="he-IL"/>
        </w:rPr>
        <w:t xml:space="preserve">, לרבות קביעה כי תקנים מחייבים אשר לא ייכללו במיפוי האמור או לא יושלם הליך בחינתם במועדים הנקובים בהחלטה </w:t>
      </w:r>
      <w:r w:rsidRPr="006575CE">
        <w:rPr>
          <w:rFonts w:ascii="Alef" w:hAnsi="Alef" w:cs="Alef"/>
          <w:rtl/>
          <w:lang w:eastAsia="he-IL"/>
        </w:rPr>
        <w:t>–</w:t>
      </w:r>
      <w:r w:rsidRPr="006575CE">
        <w:rPr>
          <w:rFonts w:ascii="Alef" w:hAnsi="Alef" w:cs="Alef" w:hint="cs"/>
          <w:rtl/>
          <w:lang w:eastAsia="he-IL"/>
        </w:rPr>
        <w:t xml:space="preserve"> ייחשבו כבטלים.</w:t>
      </w:r>
      <w:r w:rsidR="003606E0" w:rsidRPr="006575CE">
        <w:rPr>
          <w:rFonts w:ascii="Alef" w:hAnsi="Alef" w:cs="Alef" w:hint="cs"/>
          <w:rtl/>
          <w:lang w:eastAsia="he-IL"/>
        </w:rPr>
        <w:t xml:space="preserve"> לאחר המיפוי יש להמשיך ולנהל את מאגר התקנים המחייבים באופן שוטף.</w:t>
      </w:r>
    </w:p>
    <w:p w14:paraId="66EA54ED" w14:textId="4A8BBAE9" w:rsidR="00BC2015" w:rsidRPr="00903A30" w:rsidRDefault="00BC2015" w:rsidP="002866A6">
      <w:pPr>
        <w:pStyle w:val="2"/>
        <w:numPr>
          <w:ilvl w:val="0"/>
          <w:numId w:val="6"/>
        </w:numPr>
        <w:spacing w:line="480" w:lineRule="auto"/>
        <w:rPr>
          <w:rFonts w:ascii="Alef" w:hAnsi="Alef" w:cs="Alef"/>
          <w:b/>
          <w:bCs/>
          <w:sz w:val="28"/>
          <w:szCs w:val="28"/>
          <w:u w:val="single"/>
          <w:rtl/>
        </w:rPr>
      </w:pPr>
      <w:r w:rsidRPr="00903A30">
        <w:rPr>
          <w:rFonts w:ascii="Alef" w:hAnsi="Alef" w:cs="Alef"/>
          <w:b/>
          <w:bCs/>
          <w:sz w:val="28"/>
          <w:szCs w:val="28"/>
          <w:u w:val="single"/>
          <w:rtl/>
        </w:rPr>
        <w:t>קידום הבנקאות הפתוחה בישראל - הסדרת פעילות שירות מידע פיננסי</w:t>
      </w:r>
    </w:p>
    <w:p w14:paraId="46C8E6F5" w14:textId="77777777" w:rsidR="00BC2015" w:rsidRPr="00903A30" w:rsidRDefault="00BC2015" w:rsidP="00791548">
      <w:pPr>
        <w:pStyle w:val="2"/>
        <w:numPr>
          <w:ilvl w:val="0"/>
          <w:numId w:val="0"/>
        </w:numPr>
        <w:spacing w:line="480" w:lineRule="auto"/>
        <w:rPr>
          <w:rFonts w:ascii="Alef" w:hAnsi="Alef" w:cs="Alef"/>
          <w:rtl/>
          <w:lang w:eastAsia="he-IL"/>
        </w:rPr>
      </w:pPr>
      <w:proofErr w:type="spellStart"/>
      <w:r w:rsidRPr="00903A30">
        <w:rPr>
          <w:rFonts w:ascii="Alef" w:hAnsi="Alef" w:cs="Alef"/>
          <w:rtl/>
          <w:lang w:eastAsia="he-IL"/>
        </w:rPr>
        <w:t>אסדרת</w:t>
      </w:r>
      <w:proofErr w:type="spellEnd"/>
      <w:r w:rsidRPr="00903A30">
        <w:rPr>
          <w:rFonts w:ascii="Alef" w:hAnsi="Alef" w:cs="Alef"/>
          <w:rtl/>
          <w:lang w:eastAsia="he-IL"/>
        </w:rPr>
        <w:t xml:space="preserve"> פעילות שירות מידע פיננסי היא נדבך חשוב ביותר של הרפורמות לקידום התחרות ולייעול השירותים במערכת הפיננסית בישראל. בין החסמים המרכזיים המקשים על התחרות בתחום הפיננסי, פערי מידע בין הלקוח לבין הגוף הפיננסי וכן בין גופים פיננסיים שונים. כיום, עיקר המידע הפיננסי אודות הלקוח מצוי בידי הבנק בו הוא מנהל את חשבון הבנק העיקרי שלו, והדבר יוצר קושי גדול של גופים אחרים להתחרות מול אותו בנק על ליבו של הלקוח.</w:t>
      </w:r>
    </w:p>
    <w:p w14:paraId="24511D32" w14:textId="77777777" w:rsidR="00BC2015" w:rsidRPr="00903A30" w:rsidRDefault="00BC2015" w:rsidP="00791548">
      <w:pPr>
        <w:pStyle w:val="2"/>
        <w:numPr>
          <w:ilvl w:val="0"/>
          <w:numId w:val="0"/>
        </w:numPr>
        <w:spacing w:line="480" w:lineRule="auto"/>
        <w:rPr>
          <w:rFonts w:ascii="Alef" w:hAnsi="Alef" w:cs="Alef"/>
          <w:rtl/>
          <w:lang w:eastAsia="he-IL"/>
        </w:rPr>
      </w:pPr>
      <w:r w:rsidRPr="00903A30">
        <w:rPr>
          <w:rFonts w:ascii="Alef" w:hAnsi="Alef" w:cs="Alef"/>
          <w:rtl/>
          <w:lang w:eastAsia="he-IL"/>
        </w:rPr>
        <w:t xml:space="preserve">הצעת החוק מאפשרת ללקוח להעביר את המידע עליו לגופים מפוקחים אשר ישתמשו בו כדי לסייע ללקוח לראות תמונה כוללת של פעילותו, לקבל הצעות ערך משתלמות, להשוות </w:t>
      </w:r>
      <w:r w:rsidRPr="00903A30">
        <w:rPr>
          <w:rFonts w:ascii="Alef" w:hAnsi="Alef" w:cs="Alef"/>
          <w:rtl/>
          <w:lang w:eastAsia="he-IL"/>
        </w:rPr>
        <w:lastRenderedPageBreak/>
        <w:t>בין מוצרים פיננסיים שונים ועוד. עמדה זו הובעה על-ידי רשות התחרות במסגרת הוועדה להגברת התחרותיות בשירותים בנקאיים ופיננסים נפוצים (</w:t>
      </w:r>
      <w:r w:rsidRPr="0018287F">
        <w:rPr>
          <w:rFonts w:ascii="Alef" w:hAnsi="Alef" w:cs="Alef"/>
          <w:rtl/>
          <w:lang w:eastAsia="he-IL"/>
        </w:rPr>
        <w:t>להלן</w:t>
      </w:r>
      <w:r w:rsidRPr="00903A30">
        <w:rPr>
          <w:rFonts w:ascii="Alef" w:hAnsi="Alef" w:cs="Alef"/>
          <w:rtl/>
          <w:lang w:eastAsia="he-IL"/>
        </w:rPr>
        <w:t xml:space="preserve"> </w:t>
      </w:r>
      <w:r w:rsidRPr="0018287F">
        <w:rPr>
          <w:rFonts w:ascii="Alef" w:hAnsi="Alef" w:cs="Alef"/>
          <w:b/>
          <w:bCs/>
          <w:rtl/>
          <w:lang w:eastAsia="he-IL"/>
        </w:rPr>
        <w:t>הוועדה</w:t>
      </w:r>
      <w:r w:rsidRPr="00903A30">
        <w:rPr>
          <w:rFonts w:ascii="Alef" w:hAnsi="Alef" w:cs="Alef"/>
          <w:rtl/>
          <w:lang w:eastAsia="he-IL"/>
        </w:rPr>
        <w:t>) ונכללה בהמלצותיה.</w:t>
      </w:r>
    </w:p>
    <w:p w14:paraId="56D9D8FC" w14:textId="77777777" w:rsidR="00BC2015" w:rsidRDefault="00BC2015" w:rsidP="00791548">
      <w:pPr>
        <w:pStyle w:val="2"/>
        <w:numPr>
          <w:ilvl w:val="0"/>
          <w:numId w:val="0"/>
        </w:numPr>
        <w:spacing w:line="480" w:lineRule="auto"/>
        <w:rPr>
          <w:rFonts w:ascii="Alef" w:hAnsi="Alef" w:cs="Alef"/>
          <w:rtl/>
          <w:lang w:eastAsia="he-IL"/>
        </w:rPr>
      </w:pPr>
      <w:r w:rsidRPr="00903A30">
        <w:rPr>
          <w:rFonts w:ascii="Alef" w:hAnsi="Alef" w:cs="Alef"/>
          <w:rtl/>
          <w:lang w:eastAsia="he-IL"/>
        </w:rPr>
        <w:t xml:space="preserve">לצד החובה המוטלת על מקורות מידע </w:t>
      </w:r>
      <w:proofErr w:type="spellStart"/>
      <w:r w:rsidRPr="00903A30">
        <w:rPr>
          <w:rFonts w:ascii="Alef" w:hAnsi="Alef" w:cs="Alef"/>
          <w:rtl/>
          <w:lang w:eastAsia="he-IL"/>
        </w:rPr>
        <w:t>להנגיש</w:t>
      </w:r>
      <w:proofErr w:type="spellEnd"/>
      <w:r w:rsidRPr="00903A30">
        <w:rPr>
          <w:rFonts w:ascii="Alef" w:hAnsi="Alef" w:cs="Alef"/>
          <w:rtl/>
          <w:lang w:eastAsia="he-IL"/>
        </w:rPr>
        <w:t xml:space="preserve"> את המידע על לקוחותיהם, הצעת החוק מסדירה את הפיקוח על אותם גופים אשר יעסקו במתן שירותי מידע. אסדרה זאת נדרשת על מנת להבטיח את השמירה על פרטיות וטובת הלקוח וליצור אמון של הלקוחות בנותני השירותים. יחד עם זאת, יש חשיבות בהימנעות מהטלת רגולציה שלא לצורך </w:t>
      </w:r>
      <w:r>
        <w:rPr>
          <w:rFonts w:ascii="Alef" w:hAnsi="Alef" w:cs="Alef" w:hint="cs"/>
          <w:rtl/>
          <w:lang w:eastAsia="he-IL"/>
        </w:rPr>
        <w:t xml:space="preserve">אשר עלולה לצמצם את מגוון האפשרויות לפיתוח השוק. </w:t>
      </w:r>
      <w:r w:rsidRPr="00903A30">
        <w:rPr>
          <w:rFonts w:ascii="Alef" w:hAnsi="Alef" w:cs="Alef"/>
          <w:rtl/>
          <w:lang w:eastAsia="he-IL"/>
        </w:rPr>
        <w:t>על הפיקוח להתמקד בראש ובראשונה</w:t>
      </w:r>
      <w:r>
        <w:rPr>
          <w:rFonts w:ascii="Alef" w:hAnsi="Alef" w:cs="Alef" w:hint="cs"/>
          <w:rtl/>
          <w:lang w:eastAsia="he-IL"/>
        </w:rPr>
        <w:t xml:space="preserve"> ב</w:t>
      </w:r>
      <w:r w:rsidRPr="00903A30">
        <w:rPr>
          <w:rFonts w:ascii="Alef" w:hAnsi="Alef" w:cs="Alef"/>
          <w:rtl/>
          <w:lang w:eastAsia="he-IL"/>
        </w:rPr>
        <w:t xml:space="preserve">מידע </w:t>
      </w:r>
      <w:r>
        <w:rPr>
          <w:rFonts w:ascii="Alef" w:hAnsi="Alef" w:cs="Alef" w:hint="cs"/>
          <w:rtl/>
          <w:lang w:eastAsia="he-IL"/>
        </w:rPr>
        <w:t xml:space="preserve"> - </w:t>
      </w:r>
      <w:r w:rsidRPr="00903A30">
        <w:rPr>
          <w:rFonts w:ascii="Alef" w:hAnsi="Alef" w:cs="Alef"/>
          <w:rtl/>
          <w:lang w:eastAsia="he-IL"/>
        </w:rPr>
        <w:t xml:space="preserve">העברת המידע והשמירה עליו; ואילו בהיבטים הנוגעים למערכת היחסים שבין נותן השירותים לבין הלקוח אין מקום לקביעת הסדרים נוקשים, אשר ימנעו מהשוק להתפתח בצורה חופשית, חדשנית ויצירתית. </w:t>
      </w:r>
      <w:r>
        <w:rPr>
          <w:rFonts w:ascii="Alef" w:hAnsi="Alef" w:cs="Alef" w:hint="cs"/>
          <w:rtl/>
          <w:lang w:eastAsia="he-IL"/>
        </w:rPr>
        <w:t>בכלל זה, אין למנוע מגופים לעשות כל שימוש במידע על מנת להציע שירותים והצעות ערך שיטיבו עם הצרכנים, אלא במקרים המצומצמים שהצעת שירותים כאמור עלולה לעורר חשש מובהק לפגיעה בתחרות או בציבור.</w:t>
      </w:r>
    </w:p>
    <w:p w14:paraId="7E6622DF" w14:textId="77777777" w:rsidR="00BC2015" w:rsidRDefault="00BC2015" w:rsidP="002866A6">
      <w:pPr>
        <w:pStyle w:val="2"/>
        <w:numPr>
          <w:ilvl w:val="0"/>
          <w:numId w:val="6"/>
        </w:numPr>
        <w:spacing w:line="480" w:lineRule="auto"/>
        <w:rPr>
          <w:rFonts w:ascii="Alef" w:hAnsi="Alef" w:cs="Alef"/>
          <w:b/>
          <w:bCs/>
          <w:sz w:val="28"/>
          <w:szCs w:val="28"/>
          <w:u w:val="single"/>
        </w:rPr>
      </w:pPr>
      <w:r w:rsidRPr="00903A30">
        <w:rPr>
          <w:rFonts w:ascii="Alef" w:hAnsi="Alef" w:cs="Alef"/>
          <w:b/>
          <w:bCs/>
          <w:sz w:val="28"/>
          <w:szCs w:val="28"/>
          <w:u w:val="single"/>
          <w:rtl/>
        </w:rPr>
        <w:t xml:space="preserve">קידום </w:t>
      </w:r>
      <w:r>
        <w:rPr>
          <w:rFonts w:ascii="Alef" w:hAnsi="Alef" w:cs="Alef" w:hint="cs"/>
          <w:b/>
          <w:bCs/>
          <w:sz w:val="28"/>
          <w:szCs w:val="28"/>
          <w:u w:val="single"/>
          <w:rtl/>
        </w:rPr>
        <w:t xml:space="preserve">שוק התשלומים בישראל </w:t>
      </w:r>
      <w:r>
        <w:rPr>
          <w:rFonts w:ascii="Alef" w:hAnsi="Alef" w:cs="Alef"/>
          <w:b/>
          <w:bCs/>
          <w:sz w:val="28"/>
          <w:szCs w:val="28"/>
          <w:u w:val="single"/>
          <w:rtl/>
        </w:rPr>
        <w:t>–</w:t>
      </w:r>
      <w:r>
        <w:rPr>
          <w:rFonts w:ascii="Alef" w:hAnsi="Alef" w:cs="Alef" w:hint="cs"/>
          <w:b/>
          <w:bCs/>
          <w:sz w:val="28"/>
          <w:szCs w:val="28"/>
          <w:u w:val="single"/>
          <w:rtl/>
        </w:rPr>
        <w:t xml:space="preserve"> הסדרת העיסוק בשירותי תשלום</w:t>
      </w:r>
    </w:p>
    <w:p w14:paraId="2F54B15C" w14:textId="77777777" w:rsidR="00BC2015" w:rsidRDefault="00BC2015" w:rsidP="00BC2015">
      <w:pPr>
        <w:pStyle w:val="2"/>
        <w:numPr>
          <w:ilvl w:val="0"/>
          <w:numId w:val="0"/>
        </w:numPr>
        <w:spacing w:line="480" w:lineRule="auto"/>
        <w:rPr>
          <w:rFonts w:ascii="Alef" w:hAnsi="Alef" w:cs="Alef"/>
          <w:rtl/>
          <w:lang w:eastAsia="he-IL"/>
        </w:rPr>
      </w:pPr>
      <w:proofErr w:type="spellStart"/>
      <w:r w:rsidRPr="00903A30">
        <w:rPr>
          <w:rFonts w:ascii="Alef" w:hAnsi="Alef" w:cs="Alef"/>
          <w:rtl/>
          <w:lang w:eastAsia="he-IL"/>
        </w:rPr>
        <w:t>אסדרת</w:t>
      </w:r>
      <w:proofErr w:type="spellEnd"/>
      <w:r w:rsidRPr="00903A30">
        <w:rPr>
          <w:rFonts w:ascii="Alef" w:hAnsi="Alef" w:cs="Alef"/>
          <w:rtl/>
          <w:lang w:eastAsia="he-IL"/>
        </w:rPr>
        <w:t xml:space="preserve"> </w:t>
      </w:r>
      <w:r>
        <w:rPr>
          <w:rFonts w:ascii="Alef" w:hAnsi="Alef" w:cs="Alef" w:hint="cs"/>
          <w:rtl/>
          <w:lang w:eastAsia="he-IL"/>
        </w:rPr>
        <w:t xml:space="preserve">העיסוק בשירותי תשלום, לרבות </w:t>
      </w:r>
      <w:r w:rsidRPr="00903A30">
        <w:rPr>
          <w:rFonts w:ascii="Alef" w:hAnsi="Alef" w:cs="Alef"/>
          <w:rtl/>
          <w:lang w:eastAsia="he-IL"/>
        </w:rPr>
        <w:t>ייזום פעולות תשלום</w:t>
      </w:r>
      <w:r>
        <w:rPr>
          <w:rFonts w:ascii="Alef" w:hAnsi="Alef" w:cs="Alef" w:hint="cs"/>
          <w:rtl/>
          <w:lang w:eastAsia="he-IL"/>
        </w:rPr>
        <w:t xml:space="preserve">, אף היא נדבך חיוני להשלמת הרפורמה להגברת התחרות במערכת הפיננסית. השלמת אסדרה זו תאפשר לגופים נוספים מלבד </w:t>
      </w:r>
      <w:r w:rsidRPr="00903A30">
        <w:rPr>
          <w:rFonts w:ascii="Alef" w:hAnsi="Alef" w:cs="Alef"/>
          <w:rtl/>
          <w:lang w:eastAsia="he-IL"/>
        </w:rPr>
        <w:t xml:space="preserve">הבנקים לעסוק בניהול חשבונות תשלום עבור הלקוח, וכן להוסיף אפשרויות תשלום חדשות וגופים נוספים שיפעלו בתחומי ההנפקה והסליקה של אמצעי תשלום. </w:t>
      </w:r>
      <w:r>
        <w:rPr>
          <w:rFonts w:ascii="Alef" w:hAnsi="Alef" w:cs="Alef" w:hint="cs"/>
          <w:rtl/>
          <w:lang w:eastAsia="he-IL"/>
        </w:rPr>
        <w:t>פתיחת שערי העיסוק בתחום בפני גופים חדשים ומגוונים תאפשר תחרות חופשית על ליבם של הצרכנים בדרך של הצעת שירותי תשלום איכותיים וחדשניים, באופן שיטיב הן עם הצרכנים והן עם בתי העסק.</w:t>
      </w:r>
    </w:p>
    <w:p w14:paraId="5F24E312" w14:textId="2CEAD409" w:rsidR="00BC2015" w:rsidRDefault="00BC2015" w:rsidP="00BC2015">
      <w:pPr>
        <w:pStyle w:val="2"/>
        <w:numPr>
          <w:ilvl w:val="0"/>
          <w:numId w:val="0"/>
        </w:numPr>
        <w:spacing w:line="480" w:lineRule="auto"/>
        <w:rPr>
          <w:rFonts w:ascii="Alef" w:hAnsi="Alef" w:cs="Alef"/>
          <w:rtl/>
          <w:lang w:eastAsia="he-IL"/>
        </w:rPr>
      </w:pPr>
      <w:r>
        <w:rPr>
          <w:rFonts w:ascii="Alef" w:hAnsi="Alef" w:cs="Alef" w:hint="cs"/>
          <w:rtl/>
          <w:lang w:eastAsia="he-IL"/>
        </w:rPr>
        <w:lastRenderedPageBreak/>
        <w:t xml:space="preserve">למרבה הצער, אסדרה זאת מתעכבת כבר תקופה ממושכת, בין היתר עקב עיכוב בהכרעה בעניין זהות המאסדר המתאים. עיכוב זה לא רק מנע מהציבור ליהנות מפירות התחרות בתחום אלא אף עלול ליצור </w:t>
      </w:r>
      <w:proofErr w:type="spellStart"/>
      <w:r>
        <w:rPr>
          <w:rFonts w:ascii="Alef" w:hAnsi="Alef" w:cs="Alef" w:hint="cs"/>
          <w:rtl/>
          <w:lang w:eastAsia="he-IL"/>
        </w:rPr>
        <w:t>ליצור</w:t>
      </w:r>
      <w:proofErr w:type="spellEnd"/>
      <w:r>
        <w:rPr>
          <w:rFonts w:ascii="Alef" w:hAnsi="Alef" w:cs="Alef" w:hint="cs"/>
          <w:rtl/>
          <w:lang w:eastAsia="he-IL"/>
        </w:rPr>
        <w:t xml:space="preserve"> מבנה שוק מעוות עקב הקדימות שניתנת לשחקנים הקיימים (בנקים וחברות כרטיסי אשראי). מכאן החשיבות הרבה שיש בקידום מהיר של </w:t>
      </w:r>
      <w:proofErr w:type="spellStart"/>
      <w:r>
        <w:rPr>
          <w:rFonts w:ascii="Alef" w:hAnsi="Alef" w:cs="Alef" w:hint="cs"/>
          <w:rtl/>
          <w:lang w:eastAsia="he-IL"/>
        </w:rPr>
        <w:t>אסדרת</w:t>
      </w:r>
      <w:proofErr w:type="spellEnd"/>
      <w:r>
        <w:rPr>
          <w:rFonts w:ascii="Alef" w:hAnsi="Alef" w:cs="Alef" w:hint="cs"/>
          <w:rtl/>
          <w:lang w:eastAsia="he-IL"/>
        </w:rPr>
        <w:t xml:space="preserve"> תחום התשלומים, לרבות ייזום פעולות תשלום, ומתן רישיונות בתחום.</w:t>
      </w:r>
    </w:p>
    <w:p w14:paraId="252822C6" w14:textId="77777777" w:rsidR="00BC2015" w:rsidRPr="00903A30" w:rsidRDefault="00BC2015" w:rsidP="00BC2015">
      <w:pPr>
        <w:pStyle w:val="2"/>
        <w:numPr>
          <w:ilvl w:val="0"/>
          <w:numId w:val="0"/>
        </w:numPr>
        <w:spacing w:line="480" w:lineRule="auto"/>
        <w:ind w:left="84"/>
        <w:rPr>
          <w:rFonts w:ascii="Alef" w:hAnsi="Alef" w:cs="Alef"/>
          <w:rtl/>
          <w:lang w:eastAsia="he-IL"/>
        </w:rPr>
      </w:pPr>
      <w:r>
        <w:rPr>
          <w:rFonts w:ascii="Alef" w:hAnsi="Alef" w:cs="Alef" w:hint="cs"/>
          <w:rtl/>
          <w:lang w:eastAsia="he-IL"/>
        </w:rPr>
        <w:t xml:space="preserve">תזכירי החוק יסדירו את אופן מתן הרישוי, הפיקוח והאסדרה ביחס לשירותים אלו. חשוב כי אסדרה זאת תהיה מותאמת לאופי הפעילות, לרבות העובדה שאין בה כדי ליצור סיכונים </w:t>
      </w:r>
      <w:proofErr w:type="spellStart"/>
      <w:r>
        <w:rPr>
          <w:rFonts w:ascii="Alef" w:hAnsi="Alef" w:cs="Alef" w:hint="cs"/>
          <w:rtl/>
          <w:lang w:eastAsia="he-IL"/>
        </w:rPr>
        <w:t>יציבותיים</w:t>
      </w:r>
      <w:proofErr w:type="spellEnd"/>
      <w:r>
        <w:rPr>
          <w:rFonts w:ascii="Alef" w:hAnsi="Alef" w:cs="Alef" w:hint="cs"/>
          <w:rtl/>
          <w:lang w:eastAsia="he-IL"/>
        </w:rPr>
        <w:t xml:space="preserve">. יש להימנע מהטלת רגולציה מכבידה שלא לצורך, על מנת שלא להקשות על גופים קטנים ולהבטיח את כניסתם לענף של שחקנים שונים ומגוונים. </w:t>
      </w:r>
      <w:r w:rsidRPr="00903A30">
        <w:rPr>
          <w:rFonts w:ascii="Alef" w:hAnsi="Alef" w:cs="Alef"/>
          <w:rtl/>
          <w:lang w:eastAsia="he-IL"/>
        </w:rPr>
        <w:t xml:space="preserve">כמו כן, ראוי לפעול להקל את הנטל הרגולטורי על גופים שכבר כפופים למשטר פיקוחי המתייחס לנושאי אבטחת מידע ופרטיות, לרבות בעלי רישיון פיננסי אחר ונותני שירותי </w:t>
      </w:r>
      <w:r>
        <w:rPr>
          <w:rFonts w:ascii="Alef" w:hAnsi="Alef" w:cs="Alef" w:hint="cs"/>
          <w:rtl/>
          <w:lang w:eastAsia="he-IL"/>
        </w:rPr>
        <w:t>תשלום</w:t>
      </w:r>
      <w:r w:rsidRPr="00903A30">
        <w:rPr>
          <w:rFonts w:ascii="Alef" w:hAnsi="Alef" w:cs="Alef"/>
          <w:rtl/>
          <w:lang w:eastAsia="he-IL"/>
        </w:rPr>
        <w:t xml:space="preserve"> בעלי רישיון זר.</w:t>
      </w:r>
    </w:p>
    <w:p w14:paraId="0FCADBBA" w14:textId="3538B316" w:rsidR="00BC2015" w:rsidRDefault="00BC2015" w:rsidP="00BC2015">
      <w:pPr>
        <w:pStyle w:val="2"/>
        <w:numPr>
          <w:ilvl w:val="0"/>
          <w:numId w:val="0"/>
        </w:numPr>
        <w:spacing w:line="480" w:lineRule="auto"/>
        <w:rPr>
          <w:rFonts w:ascii="Alef" w:hAnsi="Alef" w:cs="Alef"/>
          <w:rtl/>
          <w:lang w:eastAsia="he-IL"/>
        </w:rPr>
      </w:pPr>
      <w:r>
        <w:rPr>
          <w:rFonts w:ascii="Alef" w:hAnsi="Alef" w:cs="Alef" w:hint="cs"/>
          <w:rtl/>
          <w:lang w:eastAsia="he-IL"/>
        </w:rPr>
        <w:t xml:space="preserve">כמו </w:t>
      </w:r>
      <w:r w:rsidR="00CA571D">
        <w:rPr>
          <w:rFonts w:ascii="Alef" w:hAnsi="Alef" w:cs="Alef" w:hint="cs"/>
          <w:rtl/>
          <w:lang w:eastAsia="he-IL"/>
        </w:rPr>
        <w:t>כ</w:t>
      </w:r>
      <w:r>
        <w:rPr>
          <w:rFonts w:ascii="Alef" w:hAnsi="Alef" w:cs="Alef" w:hint="cs"/>
          <w:rtl/>
          <w:lang w:eastAsia="he-IL"/>
        </w:rPr>
        <w:t xml:space="preserve">ן, ישנה חשיבות משמעותית שתזכיר החוק בעניין שירותי תשלום יסדיר את סוגיית גישת נותני שירותי התשלום למערכות התשלום, על מנת להבטיח שיוכלו ליהנות מגישה שוויונית, ללא תלות בבנקים המתחרים בהם. </w:t>
      </w:r>
    </w:p>
    <w:p w14:paraId="745C2138" w14:textId="65EF97D1" w:rsidR="00BC2015" w:rsidRDefault="00BC2015" w:rsidP="00BC2015">
      <w:pPr>
        <w:pStyle w:val="2"/>
        <w:numPr>
          <w:ilvl w:val="0"/>
          <w:numId w:val="0"/>
        </w:numPr>
        <w:spacing w:line="480" w:lineRule="auto"/>
        <w:rPr>
          <w:rFonts w:ascii="Alef" w:hAnsi="Alef" w:cs="Alef"/>
          <w:rtl/>
          <w:lang w:eastAsia="he-IL"/>
        </w:rPr>
      </w:pPr>
      <w:r>
        <w:rPr>
          <w:rFonts w:ascii="Alef" w:hAnsi="Alef" w:cs="Alef" w:hint="cs"/>
          <w:rtl/>
          <w:lang w:eastAsia="he-IL"/>
        </w:rPr>
        <w:t xml:space="preserve">על תזכיר החוק בעניין ייזום תשלומים להסדיר את חובות מנהלי חשבונות תשלום כלפי נותני שירותי ייזום תשלומים, על מנת להבטיח שאין אפליה של הוראות תשלום שניתנות באמצעות יזום אל מול הוראות שניתנות על ידי הלקוח באופן ישיר. </w:t>
      </w:r>
    </w:p>
    <w:p w14:paraId="5F376CFF" w14:textId="55DAFC08" w:rsidR="00000F5C" w:rsidRPr="00000F5C" w:rsidRDefault="00000F5C" w:rsidP="00000F5C">
      <w:pPr>
        <w:pStyle w:val="2"/>
        <w:numPr>
          <w:ilvl w:val="0"/>
          <w:numId w:val="6"/>
        </w:numPr>
        <w:spacing w:line="480" w:lineRule="auto"/>
        <w:rPr>
          <w:rFonts w:ascii="Alef" w:hAnsi="Alef" w:cs="Alef"/>
          <w:b/>
          <w:bCs/>
          <w:sz w:val="28"/>
          <w:szCs w:val="28"/>
          <w:u w:val="single"/>
          <w:rtl/>
        </w:rPr>
      </w:pPr>
      <w:r>
        <w:rPr>
          <w:rFonts w:ascii="Alef" w:hAnsi="Alef" w:cs="Alef" w:hint="cs"/>
          <w:b/>
          <w:bCs/>
          <w:sz w:val="28"/>
          <w:szCs w:val="28"/>
          <w:u w:val="single"/>
          <w:rtl/>
        </w:rPr>
        <w:t>תכנית לאומית לשיפור הרגולציה</w:t>
      </w:r>
    </w:p>
    <w:p w14:paraId="6C5D4CEC" w14:textId="3533D1A9" w:rsidR="00000F5C" w:rsidRPr="00C517EF" w:rsidRDefault="00000F5C" w:rsidP="00C517EF">
      <w:pPr>
        <w:spacing w:before="120"/>
        <w:rPr>
          <w:rFonts w:ascii="Alef" w:hAnsi="Alef" w:cs="Alef"/>
        </w:rPr>
      </w:pPr>
      <w:r w:rsidRPr="00C517EF">
        <w:rPr>
          <w:rFonts w:ascii="Alef" w:hAnsi="Alef" w:cs="Alef" w:hint="eastAsia"/>
          <w:rtl/>
        </w:rPr>
        <w:t>ה</w:t>
      </w:r>
      <w:r w:rsidRPr="00C517EF">
        <w:rPr>
          <w:rFonts w:ascii="Alef" w:hAnsi="Alef" w:cs="Alef"/>
          <w:rtl/>
        </w:rPr>
        <w:t xml:space="preserve">רגולציה </w:t>
      </w:r>
      <w:r w:rsidRPr="00C517EF">
        <w:rPr>
          <w:rFonts w:ascii="Alef" w:hAnsi="Alef" w:cs="Alef" w:hint="eastAsia"/>
          <w:rtl/>
        </w:rPr>
        <w:t>ה</w:t>
      </w:r>
      <w:r w:rsidRPr="00C517EF">
        <w:rPr>
          <w:rFonts w:ascii="Alef" w:hAnsi="Alef" w:cs="Alef"/>
          <w:rtl/>
        </w:rPr>
        <w:t xml:space="preserve">מכבידה הקיימת בישראל היא בעלת השלכות </w:t>
      </w:r>
      <w:r w:rsidRPr="00C517EF">
        <w:rPr>
          <w:rFonts w:ascii="Alef" w:hAnsi="Alef" w:cs="Alef" w:hint="eastAsia"/>
          <w:rtl/>
        </w:rPr>
        <w:t>שליליות</w:t>
      </w:r>
      <w:r w:rsidRPr="00C517EF">
        <w:rPr>
          <w:rFonts w:ascii="Alef" w:hAnsi="Alef" w:cs="Alef"/>
          <w:rtl/>
        </w:rPr>
        <w:t xml:space="preserve"> רבות על המשק. היא פוגעת בעסקים, מפחיתה חדשנות ויזמות ולעיתים רבות פוגעת בתחרות וברווחת הצרכן.   </w:t>
      </w:r>
    </w:p>
    <w:p w14:paraId="525CF537" w14:textId="77777777" w:rsidR="00000F5C" w:rsidRPr="00C517EF" w:rsidRDefault="00000F5C" w:rsidP="00C517EF">
      <w:pPr>
        <w:spacing w:before="120"/>
        <w:rPr>
          <w:rFonts w:ascii="Alef" w:hAnsi="Alef" w:cs="Alef"/>
          <w:rtl/>
        </w:rPr>
      </w:pPr>
      <w:r w:rsidRPr="00C517EF">
        <w:rPr>
          <w:rFonts w:ascii="Alef" w:hAnsi="Alef" w:cs="Alef"/>
          <w:rtl/>
        </w:rPr>
        <w:lastRenderedPageBreak/>
        <w:t>רשות התחרות נתקלת פעמים רבות בהוראות רגולטוריות המגבילות את התחרות בשוק, כאשר חלק גדול מההוראות הללו מרחיקות לכת מעבר לנדרש לצורך השגת היעדים הלגיטימיים העומדים בבסיס</w:t>
      </w:r>
      <w:r w:rsidRPr="00C517EF">
        <w:rPr>
          <w:rFonts w:ascii="Alef" w:hAnsi="Alef" w:cs="Alef" w:hint="eastAsia"/>
          <w:rtl/>
        </w:rPr>
        <w:t>ן</w:t>
      </w:r>
      <w:r w:rsidRPr="00C517EF">
        <w:rPr>
          <w:rFonts w:ascii="Alef" w:hAnsi="Alef" w:cs="Alef"/>
          <w:rtl/>
        </w:rPr>
        <w:t>, או שאינן לוקחות בחשבון את ההשפעות הצפויות על השחקנים הפועלים בשוק ועל התחרות בשוק.</w:t>
      </w:r>
      <w:r>
        <w:rPr>
          <w:rStyle w:val="FootnoteReference"/>
          <w:rFonts w:ascii="Alef" w:hAnsi="Alef" w:cs="Alef"/>
          <w:rtl/>
        </w:rPr>
        <w:footnoteReference w:id="7"/>
      </w:r>
      <w:r w:rsidRPr="00C517EF">
        <w:rPr>
          <w:rFonts w:ascii="Alef" w:hAnsi="Alef" w:cs="Alef"/>
          <w:rtl/>
        </w:rPr>
        <w:t xml:space="preserve"> </w:t>
      </w:r>
    </w:p>
    <w:p w14:paraId="53382602" w14:textId="17A13E94" w:rsidR="00000F5C" w:rsidRPr="00341D62" w:rsidRDefault="00000F5C" w:rsidP="00341D62">
      <w:pPr>
        <w:spacing w:before="120"/>
        <w:rPr>
          <w:rFonts w:ascii="Alef" w:hAnsi="Alef" w:cs="Alef"/>
        </w:rPr>
      </w:pPr>
      <w:r w:rsidRPr="00C517EF">
        <w:rPr>
          <w:rFonts w:ascii="Alef" w:hAnsi="Alef" w:cs="Alef" w:hint="eastAsia"/>
          <w:rtl/>
        </w:rPr>
        <w:t>הממשלה</w:t>
      </w:r>
      <w:r w:rsidRPr="00C517EF">
        <w:rPr>
          <w:rFonts w:ascii="Alef" w:hAnsi="Alef" w:cs="Alef"/>
          <w:rtl/>
        </w:rPr>
        <w:t xml:space="preserve"> </w:t>
      </w:r>
      <w:r w:rsidRPr="00C517EF">
        <w:rPr>
          <w:rFonts w:ascii="Alef" w:hAnsi="Alef" w:cs="Alef" w:hint="eastAsia"/>
          <w:rtl/>
        </w:rPr>
        <w:t>הנוכחית</w:t>
      </w:r>
      <w:r w:rsidRPr="00C517EF">
        <w:rPr>
          <w:rFonts w:ascii="Alef" w:hAnsi="Alef" w:cs="Alef"/>
          <w:rtl/>
        </w:rPr>
        <w:t xml:space="preserve"> </w:t>
      </w:r>
      <w:r w:rsidRPr="00C517EF">
        <w:rPr>
          <w:rFonts w:ascii="Alef" w:hAnsi="Alef" w:cs="Alef" w:hint="eastAsia"/>
          <w:rtl/>
        </w:rPr>
        <w:t>שמה</w:t>
      </w:r>
      <w:r w:rsidRPr="00C517EF">
        <w:rPr>
          <w:rFonts w:ascii="Alef" w:hAnsi="Alef" w:cs="Alef"/>
          <w:rtl/>
        </w:rPr>
        <w:t xml:space="preserve"> </w:t>
      </w:r>
      <w:r w:rsidRPr="00C517EF">
        <w:rPr>
          <w:rFonts w:ascii="Alef" w:hAnsi="Alef" w:cs="Alef" w:hint="eastAsia"/>
          <w:rtl/>
        </w:rPr>
        <w:t>לה</w:t>
      </w:r>
      <w:r w:rsidRPr="00C517EF">
        <w:rPr>
          <w:rFonts w:ascii="Alef" w:hAnsi="Alef" w:cs="Alef"/>
          <w:rtl/>
        </w:rPr>
        <w:t xml:space="preserve"> </w:t>
      </w:r>
      <w:r w:rsidRPr="00C517EF">
        <w:rPr>
          <w:rFonts w:ascii="Alef" w:hAnsi="Alef" w:cs="Alef" w:hint="eastAsia"/>
          <w:rtl/>
        </w:rPr>
        <w:t>כמטרה</w:t>
      </w:r>
      <w:r w:rsidRPr="00C517EF">
        <w:rPr>
          <w:rFonts w:ascii="Alef" w:hAnsi="Alef" w:cs="Alef"/>
          <w:rtl/>
        </w:rPr>
        <w:t xml:space="preserve"> להפחית את הנטל הרגולטורי ולקדם רגולציה חכמה אשר תשפר את הסביבה העסקית ותסייע בהגברת התחרות והפחתת יוקר המחייה.</w:t>
      </w:r>
      <w:r>
        <w:rPr>
          <w:rStyle w:val="FootnoteReference"/>
          <w:rFonts w:ascii="Alef" w:hAnsi="Alef" w:cs="Alef"/>
          <w:rtl/>
        </w:rPr>
        <w:footnoteReference w:id="8"/>
      </w:r>
      <w:r w:rsidRPr="00341D62">
        <w:rPr>
          <w:rFonts w:ascii="Alef" w:hAnsi="Alef" w:cs="Alef"/>
          <w:rtl/>
        </w:rPr>
        <w:t xml:space="preserve"> </w:t>
      </w:r>
      <w:r w:rsidRPr="00341D62">
        <w:rPr>
          <w:rFonts w:ascii="Alef" w:hAnsi="Alef" w:cs="Alef" w:hint="eastAsia"/>
          <w:rtl/>
        </w:rPr>
        <w:t>הצעת</w:t>
      </w:r>
      <w:r w:rsidRPr="00341D62">
        <w:rPr>
          <w:rFonts w:ascii="Alef" w:hAnsi="Alef" w:cs="Alef"/>
          <w:rtl/>
        </w:rPr>
        <w:t xml:space="preserve"> </w:t>
      </w:r>
      <w:r w:rsidRPr="00341D62">
        <w:rPr>
          <w:rFonts w:ascii="Alef" w:hAnsi="Alef" w:cs="Alef" w:hint="eastAsia"/>
          <w:rtl/>
        </w:rPr>
        <w:t>המחליטים</w:t>
      </w:r>
      <w:r w:rsidRPr="00341D62">
        <w:rPr>
          <w:rFonts w:ascii="Alef" w:hAnsi="Alef" w:cs="Alef"/>
          <w:rtl/>
        </w:rPr>
        <w:t xml:space="preserve"> </w:t>
      </w:r>
      <w:r w:rsidRPr="00341D62">
        <w:rPr>
          <w:rFonts w:ascii="Alef" w:hAnsi="Alef" w:cs="Alef" w:hint="eastAsia"/>
          <w:rtl/>
        </w:rPr>
        <w:t>ביחס</w:t>
      </w:r>
      <w:r w:rsidRPr="00341D62">
        <w:rPr>
          <w:rFonts w:ascii="Alef" w:hAnsi="Alef" w:cs="Alef"/>
          <w:rtl/>
        </w:rPr>
        <w:t xml:space="preserve"> </w:t>
      </w:r>
      <w:r w:rsidRPr="00341D62">
        <w:rPr>
          <w:rFonts w:ascii="Alef" w:hAnsi="Alef" w:cs="Alef" w:hint="eastAsia"/>
          <w:rtl/>
        </w:rPr>
        <w:t>לתכנית</w:t>
      </w:r>
      <w:r w:rsidRPr="00341D62">
        <w:rPr>
          <w:rFonts w:ascii="Alef" w:hAnsi="Alef" w:cs="Alef"/>
          <w:rtl/>
        </w:rPr>
        <w:t xml:space="preserve"> </w:t>
      </w:r>
      <w:r w:rsidRPr="00341D62">
        <w:rPr>
          <w:rFonts w:ascii="Alef" w:hAnsi="Alef" w:cs="Alef" w:hint="eastAsia"/>
          <w:rtl/>
        </w:rPr>
        <w:t>לאומית</w:t>
      </w:r>
      <w:r w:rsidRPr="00341D62">
        <w:rPr>
          <w:rFonts w:ascii="Alef" w:hAnsi="Alef" w:cs="Alef"/>
          <w:rtl/>
        </w:rPr>
        <w:t xml:space="preserve"> </w:t>
      </w:r>
      <w:r w:rsidRPr="00341D62">
        <w:rPr>
          <w:rFonts w:ascii="Alef" w:hAnsi="Alef" w:cs="Alef" w:hint="eastAsia"/>
          <w:rtl/>
        </w:rPr>
        <w:t>לשיפור</w:t>
      </w:r>
      <w:r w:rsidRPr="00341D62">
        <w:rPr>
          <w:rFonts w:ascii="Alef" w:hAnsi="Alef" w:cs="Alef"/>
          <w:rtl/>
        </w:rPr>
        <w:t xml:space="preserve"> </w:t>
      </w:r>
      <w:r w:rsidRPr="00341D62">
        <w:rPr>
          <w:rFonts w:ascii="Alef" w:hAnsi="Alef" w:cs="Alef" w:hint="eastAsia"/>
          <w:rtl/>
        </w:rPr>
        <w:t>הרגולציה</w:t>
      </w:r>
      <w:r w:rsidRPr="00341D62">
        <w:rPr>
          <w:rFonts w:ascii="Alef" w:hAnsi="Alef" w:cs="Alef"/>
          <w:rtl/>
        </w:rPr>
        <w:t xml:space="preserve"> היא אבן דרך משמעותית לקידומה של מטרה מבורכת זו. </w:t>
      </w:r>
    </w:p>
    <w:p w14:paraId="2C16EB33" w14:textId="24050E39" w:rsidR="00000F5C" w:rsidRPr="00783331" w:rsidRDefault="00000F5C" w:rsidP="00341D62">
      <w:pPr>
        <w:spacing w:before="120"/>
        <w:rPr>
          <w:rtl/>
        </w:rPr>
      </w:pPr>
      <w:r w:rsidRPr="00341D62">
        <w:rPr>
          <w:rFonts w:ascii="Alef" w:hAnsi="Alef" w:cs="Alef" w:hint="eastAsia"/>
          <w:rtl/>
        </w:rPr>
        <w:t>לטעמנו</w:t>
      </w:r>
      <w:r w:rsidRPr="00341D62">
        <w:rPr>
          <w:rFonts w:ascii="Alef" w:hAnsi="Alef" w:cs="Alef"/>
          <w:rtl/>
        </w:rPr>
        <w:t xml:space="preserve">, </w:t>
      </w:r>
      <w:r w:rsidR="00423776" w:rsidRPr="00341D62">
        <w:rPr>
          <w:rFonts w:ascii="Alef" w:hAnsi="Alef" w:cs="Alef" w:hint="eastAsia"/>
          <w:b/>
          <w:bCs/>
          <w:rtl/>
        </w:rPr>
        <w:t>הצעד</w:t>
      </w:r>
      <w:r w:rsidR="00423776" w:rsidRPr="00341D62">
        <w:rPr>
          <w:rFonts w:ascii="Alef" w:hAnsi="Alef" w:cs="Alef"/>
          <w:b/>
          <w:bCs/>
          <w:rtl/>
        </w:rPr>
        <w:t xml:space="preserve"> </w:t>
      </w:r>
      <w:r w:rsidR="00423776" w:rsidRPr="00341D62">
        <w:rPr>
          <w:rFonts w:ascii="Alef" w:hAnsi="Alef" w:cs="Alef" w:hint="eastAsia"/>
          <w:b/>
          <w:bCs/>
          <w:rtl/>
        </w:rPr>
        <w:t>המשמעותי</w:t>
      </w:r>
      <w:r w:rsidR="00423776" w:rsidRPr="00341D62">
        <w:rPr>
          <w:rFonts w:ascii="Alef" w:hAnsi="Alef" w:cs="Alef"/>
          <w:b/>
          <w:bCs/>
          <w:rtl/>
        </w:rPr>
        <w:t xml:space="preserve"> </w:t>
      </w:r>
      <w:r w:rsidR="00423776" w:rsidRPr="00341D62">
        <w:rPr>
          <w:rFonts w:ascii="Alef" w:hAnsi="Alef" w:cs="Alef" w:hint="eastAsia"/>
          <w:b/>
          <w:bCs/>
          <w:rtl/>
        </w:rPr>
        <w:t>ביותר</w:t>
      </w:r>
      <w:r w:rsidR="00423776" w:rsidRPr="00341D62">
        <w:rPr>
          <w:rFonts w:ascii="Alef" w:hAnsi="Alef" w:cs="Alef"/>
          <w:b/>
          <w:bCs/>
          <w:rtl/>
        </w:rPr>
        <w:t xml:space="preserve"> </w:t>
      </w:r>
      <w:r w:rsidR="00423776" w:rsidRPr="00341D62">
        <w:rPr>
          <w:rFonts w:ascii="Alef" w:hAnsi="Alef" w:cs="Alef" w:hint="eastAsia"/>
          <w:b/>
          <w:bCs/>
          <w:rtl/>
        </w:rPr>
        <w:t>בהצעת</w:t>
      </w:r>
      <w:r w:rsidR="00423776" w:rsidRPr="00341D62">
        <w:rPr>
          <w:rFonts w:ascii="Alef" w:hAnsi="Alef" w:cs="Alef"/>
          <w:b/>
          <w:bCs/>
          <w:rtl/>
        </w:rPr>
        <w:t xml:space="preserve"> </w:t>
      </w:r>
      <w:r w:rsidR="00423776" w:rsidRPr="00341D62">
        <w:rPr>
          <w:rFonts w:ascii="Alef" w:hAnsi="Alef" w:cs="Alef" w:hint="eastAsia"/>
          <w:b/>
          <w:bCs/>
          <w:rtl/>
        </w:rPr>
        <w:t>המחליטים</w:t>
      </w:r>
      <w:r w:rsidR="00423776" w:rsidRPr="00341D62">
        <w:rPr>
          <w:rFonts w:ascii="Alef" w:hAnsi="Alef" w:cs="Alef"/>
          <w:b/>
          <w:bCs/>
          <w:rtl/>
        </w:rPr>
        <w:t xml:space="preserve"> </w:t>
      </w:r>
      <w:r w:rsidR="001C32FB">
        <w:rPr>
          <w:rFonts w:ascii="Alef" w:hAnsi="Alef" w:cs="Alef" w:hint="cs"/>
          <w:b/>
          <w:bCs/>
          <w:rtl/>
        </w:rPr>
        <w:t>ה</w:t>
      </w:r>
      <w:r w:rsidR="00341D62">
        <w:rPr>
          <w:rFonts w:ascii="Alef" w:hAnsi="Alef" w:cs="Alef" w:hint="cs"/>
          <w:b/>
          <w:bCs/>
          <w:rtl/>
        </w:rPr>
        <w:t>ו</w:t>
      </w:r>
      <w:r w:rsidR="001C32FB">
        <w:rPr>
          <w:rFonts w:ascii="Alef" w:hAnsi="Alef" w:cs="Alef" w:hint="cs"/>
          <w:b/>
          <w:bCs/>
          <w:rtl/>
        </w:rPr>
        <w:t xml:space="preserve">א </w:t>
      </w:r>
      <w:r w:rsidRPr="00341D62">
        <w:rPr>
          <w:rFonts w:ascii="Alef" w:hAnsi="Alef" w:cs="Alef" w:hint="eastAsia"/>
          <w:b/>
          <w:bCs/>
          <w:rtl/>
        </w:rPr>
        <w:t>קביעת</w:t>
      </w:r>
      <w:r w:rsidRPr="00341D62">
        <w:rPr>
          <w:rFonts w:ascii="Alef" w:hAnsi="Alef" w:cs="Alef"/>
          <w:b/>
          <w:bCs/>
          <w:rtl/>
        </w:rPr>
        <w:t xml:space="preserve"> </w:t>
      </w:r>
      <w:r w:rsidRPr="00341D62">
        <w:rPr>
          <w:rFonts w:ascii="Alef" w:hAnsi="Alef" w:cs="Alef" w:hint="eastAsia"/>
          <w:b/>
          <w:bCs/>
          <w:rtl/>
        </w:rPr>
        <w:t>העקרונות</w:t>
      </w:r>
      <w:r w:rsidRPr="00341D62">
        <w:rPr>
          <w:rFonts w:ascii="Alef" w:hAnsi="Alef" w:cs="Alef"/>
          <w:b/>
          <w:bCs/>
          <w:rtl/>
        </w:rPr>
        <w:t xml:space="preserve"> </w:t>
      </w:r>
      <w:r w:rsidRPr="00341D62">
        <w:rPr>
          <w:rFonts w:ascii="Alef" w:hAnsi="Alef" w:cs="Alef" w:hint="eastAsia"/>
          <w:b/>
          <w:bCs/>
          <w:rtl/>
        </w:rPr>
        <w:t>המנחים</w:t>
      </w:r>
      <w:r w:rsidRPr="00341D62">
        <w:rPr>
          <w:rFonts w:ascii="Alef" w:hAnsi="Alef" w:cs="Alef"/>
          <w:b/>
          <w:bCs/>
          <w:rtl/>
        </w:rPr>
        <w:t xml:space="preserve"> </w:t>
      </w:r>
      <w:r w:rsidRPr="00341D62">
        <w:rPr>
          <w:rFonts w:ascii="Alef" w:hAnsi="Alef" w:cs="Alef" w:hint="eastAsia"/>
          <w:b/>
          <w:bCs/>
          <w:rtl/>
        </w:rPr>
        <w:t>והשיקולים</w:t>
      </w:r>
      <w:r w:rsidRPr="00341D62">
        <w:rPr>
          <w:rFonts w:ascii="Alef" w:hAnsi="Alef" w:cs="Alef"/>
          <w:b/>
          <w:bCs/>
          <w:rtl/>
        </w:rPr>
        <w:t xml:space="preserve"> </w:t>
      </w:r>
      <w:r w:rsidRPr="00341D62">
        <w:rPr>
          <w:rFonts w:ascii="Alef" w:hAnsi="Alef" w:cs="Alef" w:hint="eastAsia"/>
          <w:b/>
          <w:bCs/>
          <w:rtl/>
        </w:rPr>
        <w:t>אותם</w:t>
      </w:r>
      <w:r w:rsidRPr="00341D62">
        <w:rPr>
          <w:rFonts w:ascii="Alef" w:hAnsi="Alef" w:cs="Alef"/>
          <w:b/>
          <w:bCs/>
          <w:rtl/>
        </w:rPr>
        <w:t xml:space="preserve"> </w:t>
      </w:r>
      <w:r w:rsidRPr="00341D62">
        <w:rPr>
          <w:rFonts w:ascii="Alef" w:hAnsi="Alef" w:cs="Alef" w:hint="eastAsia"/>
          <w:b/>
          <w:bCs/>
          <w:rtl/>
        </w:rPr>
        <w:t>נדרש</w:t>
      </w:r>
      <w:r w:rsidRPr="00341D62">
        <w:rPr>
          <w:rFonts w:ascii="Alef" w:hAnsi="Alef" w:cs="Alef"/>
          <w:b/>
          <w:bCs/>
          <w:rtl/>
        </w:rPr>
        <w:t xml:space="preserve"> </w:t>
      </w:r>
      <w:r w:rsidRPr="00341D62">
        <w:rPr>
          <w:rFonts w:ascii="Alef" w:hAnsi="Alef" w:cs="Alef" w:hint="eastAsia"/>
          <w:b/>
          <w:bCs/>
          <w:rtl/>
        </w:rPr>
        <w:t>רגולטור</w:t>
      </w:r>
      <w:r w:rsidRPr="00341D62">
        <w:rPr>
          <w:rFonts w:ascii="Alef" w:hAnsi="Alef" w:cs="Alef"/>
          <w:b/>
          <w:bCs/>
          <w:rtl/>
        </w:rPr>
        <w:t xml:space="preserve"> </w:t>
      </w:r>
      <w:r w:rsidRPr="00341D62">
        <w:rPr>
          <w:rFonts w:ascii="Alef" w:hAnsi="Alef" w:cs="Alef" w:hint="eastAsia"/>
          <w:b/>
          <w:bCs/>
          <w:rtl/>
        </w:rPr>
        <w:t>לשקול</w:t>
      </w:r>
      <w:r w:rsidRPr="00341D62">
        <w:rPr>
          <w:rFonts w:ascii="Alef" w:hAnsi="Alef" w:cs="Alef"/>
          <w:b/>
          <w:bCs/>
          <w:rtl/>
        </w:rPr>
        <w:t xml:space="preserve"> </w:t>
      </w:r>
      <w:r w:rsidRPr="00341D62">
        <w:rPr>
          <w:rFonts w:ascii="Alef" w:hAnsi="Alef" w:cs="Alef" w:hint="eastAsia"/>
          <w:b/>
          <w:bCs/>
          <w:rtl/>
        </w:rPr>
        <w:t>בבואו</w:t>
      </w:r>
      <w:r w:rsidRPr="00341D62">
        <w:rPr>
          <w:rFonts w:ascii="Alef" w:hAnsi="Alef" w:cs="Alef"/>
          <w:b/>
          <w:bCs/>
          <w:rtl/>
        </w:rPr>
        <w:t xml:space="preserve"> </w:t>
      </w:r>
      <w:r w:rsidRPr="00341D62">
        <w:rPr>
          <w:rFonts w:ascii="Alef" w:hAnsi="Alef" w:cs="Alef" w:hint="eastAsia"/>
          <w:b/>
          <w:bCs/>
          <w:rtl/>
        </w:rPr>
        <w:t>לקבוע</w:t>
      </w:r>
      <w:r w:rsidRPr="00341D62">
        <w:rPr>
          <w:rFonts w:ascii="Alef" w:hAnsi="Alef" w:cs="Alef"/>
          <w:b/>
          <w:bCs/>
          <w:rtl/>
        </w:rPr>
        <w:t xml:space="preserve"> </w:t>
      </w:r>
      <w:r w:rsidRPr="00341D62">
        <w:rPr>
          <w:rFonts w:ascii="Alef" w:hAnsi="Alef" w:cs="Alef" w:hint="eastAsia"/>
          <w:b/>
          <w:bCs/>
          <w:rtl/>
        </w:rPr>
        <w:t>רגולציה</w:t>
      </w:r>
      <w:r w:rsidRPr="00341D62">
        <w:rPr>
          <w:rFonts w:ascii="Alef" w:hAnsi="Alef" w:cs="Alef"/>
          <w:b/>
          <w:bCs/>
          <w:rtl/>
        </w:rPr>
        <w:t xml:space="preserve"> </w:t>
      </w:r>
      <w:r w:rsidRPr="00341D62">
        <w:rPr>
          <w:rFonts w:ascii="Alef" w:hAnsi="Alef" w:cs="Alef" w:hint="eastAsia"/>
          <w:b/>
          <w:bCs/>
          <w:rtl/>
        </w:rPr>
        <w:t>וצעדים</w:t>
      </w:r>
      <w:r w:rsidRPr="00341D62">
        <w:rPr>
          <w:rFonts w:ascii="Alef" w:hAnsi="Alef" w:cs="Alef"/>
          <w:b/>
          <w:bCs/>
          <w:rtl/>
        </w:rPr>
        <w:t xml:space="preserve"> </w:t>
      </w:r>
      <w:r w:rsidRPr="00341D62">
        <w:rPr>
          <w:rFonts w:ascii="Alef" w:hAnsi="Alef" w:cs="Alef" w:hint="eastAsia"/>
          <w:b/>
          <w:bCs/>
          <w:rtl/>
        </w:rPr>
        <w:t>ל</w:t>
      </w:r>
      <w:r w:rsidRPr="00341D62">
        <w:rPr>
          <w:rFonts w:ascii="Alef" w:hAnsi="Alef" w:cs="Alef"/>
          <w:b/>
          <w:bCs/>
          <w:rtl/>
        </w:rPr>
        <w:t>קידום רגולציה חכמה</w:t>
      </w:r>
      <w:r w:rsidRPr="00341D62">
        <w:rPr>
          <w:rFonts w:ascii="Alef" w:hAnsi="Alef" w:cs="Alef"/>
          <w:rtl/>
        </w:rPr>
        <w:t xml:space="preserve">. </w:t>
      </w:r>
      <w:r w:rsidRPr="00341D62">
        <w:rPr>
          <w:rFonts w:ascii="Alef" w:hAnsi="Alef" w:cs="Alef" w:hint="eastAsia"/>
          <w:rtl/>
        </w:rPr>
        <w:t>קידום</w:t>
      </w:r>
      <w:r w:rsidRPr="00341D62">
        <w:rPr>
          <w:rFonts w:ascii="Alef" w:hAnsi="Alef" w:cs="Alef"/>
          <w:rtl/>
        </w:rPr>
        <w:t xml:space="preserve"> </w:t>
      </w:r>
      <w:r w:rsidRPr="00341D62">
        <w:rPr>
          <w:rFonts w:ascii="Alef" w:hAnsi="Alef" w:cs="Alef" w:hint="eastAsia"/>
          <w:rtl/>
        </w:rPr>
        <w:t>רגולציה</w:t>
      </w:r>
      <w:r w:rsidRPr="00341D62">
        <w:rPr>
          <w:rFonts w:ascii="Alef" w:hAnsi="Alef" w:cs="Alef"/>
          <w:rtl/>
        </w:rPr>
        <w:t xml:space="preserve"> </w:t>
      </w:r>
      <w:r w:rsidRPr="00341D62">
        <w:rPr>
          <w:rFonts w:ascii="Alef" w:hAnsi="Alef" w:cs="Alef" w:hint="eastAsia"/>
          <w:rtl/>
        </w:rPr>
        <w:t>חכמה</w:t>
      </w:r>
      <w:r w:rsidRPr="00341D62">
        <w:rPr>
          <w:rFonts w:ascii="Alef" w:hAnsi="Alef" w:cs="Alef"/>
          <w:rtl/>
        </w:rPr>
        <w:t xml:space="preserve"> </w:t>
      </w:r>
      <w:r w:rsidRPr="00341D62">
        <w:rPr>
          <w:rFonts w:ascii="Alef" w:hAnsi="Alef" w:cs="Alef" w:hint="eastAsia"/>
          <w:rtl/>
        </w:rPr>
        <w:t>ו</w:t>
      </w:r>
      <w:r w:rsidRPr="00341D62">
        <w:rPr>
          <w:rFonts w:ascii="Alef" w:hAnsi="Alef" w:cs="Alef"/>
          <w:rtl/>
        </w:rPr>
        <w:t xml:space="preserve">ביסוס עקרונות מנחים </w:t>
      </w:r>
      <w:r w:rsidRPr="00341D62">
        <w:rPr>
          <w:rFonts w:ascii="Alef" w:hAnsi="Alef" w:cs="Alef" w:hint="eastAsia"/>
          <w:rtl/>
        </w:rPr>
        <w:t>ליישומה</w:t>
      </w:r>
      <w:r w:rsidRPr="00341D62">
        <w:rPr>
          <w:rFonts w:ascii="Alef" w:hAnsi="Alef" w:cs="Alef"/>
          <w:rtl/>
        </w:rPr>
        <w:t xml:space="preserve"> </w:t>
      </w:r>
      <w:r w:rsidRPr="00341D62">
        <w:rPr>
          <w:rFonts w:ascii="Alef" w:hAnsi="Alef" w:cs="Alef" w:hint="eastAsia"/>
          <w:rtl/>
        </w:rPr>
        <w:t>כדוגמת</w:t>
      </w:r>
      <w:r w:rsidRPr="00341D62">
        <w:rPr>
          <w:rFonts w:ascii="Alef" w:hAnsi="Alef" w:cs="Alef"/>
          <w:rtl/>
        </w:rPr>
        <w:t xml:space="preserve"> </w:t>
      </w:r>
      <w:r w:rsidRPr="00341D62">
        <w:rPr>
          <w:rFonts w:ascii="Alef" w:hAnsi="Alef" w:cs="Alef" w:hint="eastAsia"/>
          <w:rtl/>
        </w:rPr>
        <w:t>נקיטת</w:t>
      </w:r>
      <w:r w:rsidRPr="00341D62">
        <w:rPr>
          <w:rFonts w:ascii="Alef" w:hAnsi="Alef" w:cs="Alef"/>
          <w:rtl/>
        </w:rPr>
        <w:t xml:space="preserve"> </w:t>
      </w:r>
      <w:r w:rsidRPr="00341D62">
        <w:rPr>
          <w:rFonts w:ascii="Alef" w:hAnsi="Alef" w:cs="Alef" w:hint="eastAsia"/>
          <w:rtl/>
        </w:rPr>
        <w:t>מדיניות</w:t>
      </w:r>
      <w:r w:rsidRPr="00341D62">
        <w:rPr>
          <w:rFonts w:ascii="Alef" w:hAnsi="Alef" w:cs="Alef"/>
          <w:rtl/>
        </w:rPr>
        <w:t xml:space="preserve"> </w:t>
      </w:r>
      <w:r w:rsidRPr="00341D62">
        <w:rPr>
          <w:rFonts w:ascii="Alef" w:hAnsi="Alef" w:cs="Alef" w:hint="eastAsia"/>
          <w:rtl/>
        </w:rPr>
        <w:t>ניהול</w:t>
      </w:r>
      <w:r w:rsidRPr="00341D62">
        <w:rPr>
          <w:rFonts w:ascii="Alef" w:hAnsi="Alef" w:cs="Alef"/>
          <w:rtl/>
        </w:rPr>
        <w:t xml:space="preserve"> </w:t>
      </w:r>
      <w:r w:rsidRPr="00341D62">
        <w:rPr>
          <w:rFonts w:ascii="Alef" w:hAnsi="Alef" w:cs="Alef" w:hint="eastAsia"/>
          <w:rtl/>
        </w:rPr>
        <w:t>סיכונים</w:t>
      </w:r>
      <w:r w:rsidRPr="00341D62">
        <w:rPr>
          <w:rFonts w:ascii="Alef" w:hAnsi="Alef" w:cs="Alef"/>
          <w:rtl/>
        </w:rPr>
        <w:t xml:space="preserve"> </w:t>
      </w:r>
      <w:r w:rsidRPr="00341D62">
        <w:rPr>
          <w:rFonts w:ascii="Alef" w:hAnsi="Alef" w:cs="Alef" w:hint="eastAsia"/>
          <w:rtl/>
        </w:rPr>
        <w:t>על</w:t>
      </w:r>
      <w:r w:rsidRPr="00341D62">
        <w:rPr>
          <w:rFonts w:ascii="Alef" w:hAnsi="Alef" w:cs="Alef"/>
          <w:rtl/>
        </w:rPr>
        <w:t xml:space="preserve"> </w:t>
      </w:r>
      <w:r w:rsidRPr="00341D62">
        <w:rPr>
          <w:rFonts w:ascii="Alef" w:hAnsi="Alef" w:cs="Alef" w:hint="eastAsia"/>
          <w:rtl/>
        </w:rPr>
        <w:t>ידי</w:t>
      </w:r>
      <w:r w:rsidRPr="00341D62">
        <w:rPr>
          <w:rFonts w:ascii="Alef" w:hAnsi="Alef" w:cs="Alef"/>
          <w:rtl/>
        </w:rPr>
        <w:t xml:space="preserve"> </w:t>
      </w:r>
      <w:r w:rsidRPr="00341D62">
        <w:rPr>
          <w:rFonts w:ascii="Alef" w:hAnsi="Alef" w:cs="Alef" w:hint="eastAsia"/>
          <w:rtl/>
        </w:rPr>
        <w:t>רגולטורים</w:t>
      </w:r>
      <w:r w:rsidRPr="00341D62">
        <w:rPr>
          <w:rFonts w:ascii="Alef" w:hAnsi="Alef" w:cs="Alef"/>
          <w:rtl/>
        </w:rPr>
        <w:t xml:space="preserve">, שקילת שיקולי עלות-תועלת והתאמה לסטנדרטיים בינלאומיים, מהווים </w:t>
      </w:r>
      <w:r w:rsidRPr="00341D62">
        <w:rPr>
          <w:rFonts w:ascii="Alef" w:hAnsi="Alef" w:cs="Alef" w:hint="eastAsia"/>
          <w:rtl/>
        </w:rPr>
        <w:t>אבן</w:t>
      </w:r>
      <w:r w:rsidRPr="00341D62">
        <w:rPr>
          <w:rFonts w:ascii="Alef" w:hAnsi="Alef" w:cs="Alef"/>
          <w:rtl/>
        </w:rPr>
        <w:t xml:space="preserve"> דרך לה</w:t>
      </w:r>
      <w:r w:rsidRPr="00341D62">
        <w:rPr>
          <w:rFonts w:ascii="Alef" w:hAnsi="Alef" w:cs="Alef" w:hint="eastAsia"/>
          <w:rtl/>
        </w:rPr>
        <w:t>ס</w:t>
      </w:r>
      <w:r w:rsidRPr="00341D62">
        <w:rPr>
          <w:rFonts w:ascii="Alef" w:hAnsi="Alef" w:cs="Alef"/>
          <w:rtl/>
        </w:rPr>
        <w:t>ר</w:t>
      </w:r>
      <w:r w:rsidRPr="00341D62">
        <w:rPr>
          <w:rFonts w:ascii="Alef" w:hAnsi="Alef" w:cs="Alef" w:hint="eastAsia"/>
          <w:rtl/>
        </w:rPr>
        <w:t>ת</w:t>
      </w:r>
      <w:r w:rsidRPr="00341D62">
        <w:rPr>
          <w:rFonts w:ascii="Alef" w:hAnsi="Alef" w:cs="Alef"/>
          <w:rtl/>
        </w:rPr>
        <w:t xml:space="preserve"> חסמים ו</w:t>
      </w:r>
      <w:r w:rsidRPr="00341D62">
        <w:rPr>
          <w:rFonts w:ascii="Alef" w:hAnsi="Alef" w:cs="Alef" w:hint="eastAsia"/>
          <w:rtl/>
        </w:rPr>
        <w:t>קידום</w:t>
      </w:r>
      <w:r w:rsidRPr="00341D62">
        <w:rPr>
          <w:rFonts w:ascii="Alef" w:hAnsi="Alef" w:cs="Alef"/>
          <w:rtl/>
        </w:rPr>
        <w:t xml:space="preserve"> הכלכלה והתחרות. </w:t>
      </w:r>
    </w:p>
    <w:p w14:paraId="0649E084" w14:textId="6D2FA94E" w:rsidR="00000F5C" w:rsidRPr="00341D62" w:rsidRDefault="00000F5C" w:rsidP="00341D62">
      <w:pPr>
        <w:spacing w:before="120"/>
        <w:rPr>
          <w:rFonts w:ascii="Alef" w:hAnsi="Alef" w:cs="Alef"/>
        </w:rPr>
      </w:pPr>
      <w:r w:rsidRPr="00341D62">
        <w:rPr>
          <w:rFonts w:ascii="Alef" w:hAnsi="Alef" w:cs="Alef" w:hint="eastAsia"/>
          <w:rtl/>
        </w:rPr>
        <w:t>אנו</w:t>
      </w:r>
      <w:r w:rsidRPr="00341D62">
        <w:rPr>
          <w:rFonts w:ascii="Alef" w:hAnsi="Alef" w:cs="Alef"/>
          <w:rtl/>
        </w:rPr>
        <w:t xml:space="preserve"> </w:t>
      </w:r>
      <w:r w:rsidRPr="00341D62">
        <w:rPr>
          <w:rFonts w:ascii="Alef" w:hAnsi="Alef" w:cs="Alef" w:hint="eastAsia"/>
          <w:rtl/>
        </w:rPr>
        <w:t>מברכים</w:t>
      </w:r>
      <w:r w:rsidRPr="00341D62">
        <w:rPr>
          <w:rFonts w:ascii="Alef" w:hAnsi="Alef" w:cs="Alef"/>
          <w:rtl/>
        </w:rPr>
        <w:t xml:space="preserve"> על סעיף 2א(4)</w:t>
      </w:r>
      <w:r w:rsidRPr="00341D62">
        <w:rPr>
          <w:rFonts w:ascii="Alef" w:hAnsi="Alef" w:cs="Alef"/>
        </w:rPr>
        <w:t xml:space="preserve"> </w:t>
      </w:r>
      <w:r w:rsidRPr="00341D62">
        <w:rPr>
          <w:rFonts w:ascii="Alef" w:hAnsi="Alef" w:cs="Alef"/>
          <w:rtl/>
        </w:rPr>
        <w:t xml:space="preserve">להצעת המחליטים </w:t>
      </w:r>
      <w:r w:rsidRPr="00341D62">
        <w:rPr>
          <w:rFonts w:ascii="Alef" w:hAnsi="Alef" w:cs="Alef" w:hint="eastAsia"/>
          <w:rtl/>
        </w:rPr>
        <w:t>אשר</w:t>
      </w:r>
      <w:r w:rsidRPr="00341D62">
        <w:rPr>
          <w:rFonts w:ascii="Alef" w:hAnsi="Alef" w:cs="Alef"/>
          <w:rtl/>
        </w:rPr>
        <w:t xml:space="preserve"> קובע כ</w:t>
      </w:r>
      <w:r w:rsidRPr="00341D62">
        <w:rPr>
          <w:rFonts w:ascii="Alef" w:hAnsi="Alef" w:cs="Alef" w:hint="eastAsia"/>
          <w:rtl/>
        </w:rPr>
        <w:t>י</w:t>
      </w:r>
      <w:r w:rsidRPr="00341D62">
        <w:rPr>
          <w:rFonts w:ascii="Alef" w:hAnsi="Alef" w:cs="Alef"/>
          <w:rtl/>
        </w:rPr>
        <w:t>: "רגולטור בבואו ליזום או לקבוע רגולציה חדשה, ישקול לצד קידום התועלות שבקידום תכליות הרגולציה את עלויות הציות שלה וקידום תחרות ענפית".</w:t>
      </w:r>
      <w:r>
        <w:rPr>
          <w:rStyle w:val="FootnoteReference"/>
          <w:rFonts w:ascii="Alef" w:hAnsi="Alef" w:cs="Alef"/>
          <w:rtl/>
        </w:rPr>
        <w:footnoteReference w:id="9"/>
      </w:r>
      <w:r w:rsidRPr="00341D62">
        <w:rPr>
          <w:rFonts w:ascii="Alef" w:hAnsi="Alef" w:cs="Alef"/>
          <w:rtl/>
        </w:rPr>
        <w:t xml:space="preserve"> אנחנו מבקשים לוודא ש</w:t>
      </w:r>
      <w:r w:rsidRPr="00341D62">
        <w:rPr>
          <w:rFonts w:ascii="Alef" w:hAnsi="Alef" w:cs="Alef" w:hint="eastAsia"/>
          <w:rtl/>
        </w:rPr>
        <w:t>סעיף</w:t>
      </w:r>
      <w:r w:rsidRPr="00341D62">
        <w:rPr>
          <w:rFonts w:ascii="Alef" w:hAnsi="Alef" w:cs="Alef"/>
          <w:rtl/>
        </w:rPr>
        <w:t xml:space="preserve"> </w:t>
      </w:r>
      <w:r w:rsidRPr="00341D62">
        <w:rPr>
          <w:rFonts w:ascii="Alef" w:hAnsi="Alef" w:cs="Alef" w:hint="eastAsia"/>
          <w:rtl/>
        </w:rPr>
        <w:t>זה</w:t>
      </w:r>
      <w:r w:rsidRPr="00341D62">
        <w:rPr>
          <w:rFonts w:ascii="Alef" w:hAnsi="Alef" w:cs="Alef"/>
          <w:rtl/>
        </w:rPr>
        <w:t xml:space="preserve"> </w:t>
      </w:r>
      <w:r w:rsidRPr="00341D62">
        <w:rPr>
          <w:rFonts w:ascii="Alef" w:hAnsi="Alef" w:cs="Alef" w:hint="eastAsia"/>
          <w:rtl/>
        </w:rPr>
        <w:t>יקבל</w:t>
      </w:r>
      <w:r w:rsidRPr="00341D62">
        <w:rPr>
          <w:rFonts w:ascii="Alef" w:hAnsi="Alef" w:cs="Alef"/>
          <w:rtl/>
        </w:rPr>
        <w:t xml:space="preserve"> </w:t>
      </w:r>
      <w:r w:rsidRPr="00341D62">
        <w:rPr>
          <w:rFonts w:ascii="Alef" w:hAnsi="Alef" w:cs="Alef" w:hint="eastAsia"/>
          <w:rtl/>
        </w:rPr>
        <w:t>ביטוי</w:t>
      </w:r>
      <w:r w:rsidRPr="00341D62">
        <w:rPr>
          <w:rFonts w:ascii="Alef" w:hAnsi="Alef" w:cs="Alef"/>
          <w:rtl/>
        </w:rPr>
        <w:t xml:space="preserve"> </w:t>
      </w:r>
      <w:r w:rsidRPr="00341D62">
        <w:rPr>
          <w:rFonts w:ascii="Alef" w:hAnsi="Alef" w:cs="Alef" w:hint="eastAsia"/>
          <w:rtl/>
        </w:rPr>
        <w:t>ב</w:t>
      </w:r>
      <w:r w:rsidRPr="00341D62">
        <w:rPr>
          <w:rFonts w:ascii="Alef" w:hAnsi="Alef" w:cs="Alef"/>
          <w:rtl/>
        </w:rPr>
        <w:t xml:space="preserve">חקיקה. </w:t>
      </w:r>
      <w:r w:rsidR="001C32FB">
        <w:rPr>
          <w:rFonts w:ascii="Alef" w:hAnsi="Alef" w:cs="Alef" w:hint="cs"/>
          <w:rtl/>
        </w:rPr>
        <w:t>מוצע</w:t>
      </w:r>
      <w:r w:rsidRPr="00341D62">
        <w:rPr>
          <w:rFonts w:ascii="Alef" w:hAnsi="Alef" w:cs="Alef"/>
          <w:rtl/>
        </w:rPr>
        <w:t xml:space="preserve"> </w:t>
      </w:r>
      <w:r w:rsidRPr="00341D62">
        <w:rPr>
          <w:rFonts w:ascii="Alef" w:hAnsi="Alef" w:cs="Alef" w:hint="eastAsia"/>
          <w:rtl/>
        </w:rPr>
        <w:t>להתייחס</w:t>
      </w:r>
      <w:r w:rsidRPr="00341D62">
        <w:rPr>
          <w:rFonts w:ascii="Alef" w:hAnsi="Alef" w:cs="Alef"/>
          <w:rtl/>
        </w:rPr>
        <w:t xml:space="preserve"> </w:t>
      </w:r>
      <w:r w:rsidRPr="00341D62">
        <w:rPr>
          <w:rFonts w:ascii="Alef" w:hAnsi="Alef" w:cs="Alef" w:hint="eastAsia"/>
          <w:rtl/>
        </w:rPr>
        <w:t>גם</w:t>
      </w:r>
      <w:r w:rsidRPr="00341D62">
        <w:rPr>
          <w:rFonts w:ascii="Alef" w:hAnsi="Alef" w:cs="Alef"/>
          <w:rtl/>
        </w:rPr>
        <w:t xml:space="preserve"> </w:t>
      </w:r>
      <w:r w:rsidRPr="00341D62">
        <w:rPr>
          <w:rFonts w:ascii="Alef" w:hAnsi="Alef" w:cs="Alef" w:hint="eastAsia"/>
          <w:rtl/>
        </w:rPr>
        <w:t>לאופן</w:t>
      </w:r>
      <w:r w:rsidRPr="00341D62">
        <w:rPr>
          <w:rFonts w:ascii="Alef" w:hAnsi="Alef" w:cs="Alef"/>
          <w:rtl/>
        </w:rPr>
        <w:t xml:space="preserve"> </w:t>
      </w:r>
      <w:r w:rsidRPr="00341D62">
        <w:rPr>
          <w:rFonts w:ascii="Alef" w:hAnsi="Alef" w:cs="Alef" w:hint="eastAsia"/>
          <w:rtl/>
        </w:rPr>
        <w:t>בו</w:t>
      </w:r>
      <w:r w:rsidRPr="00341D62">
        <w:rPr>
          <w:rFonts w:ascii="Alef" w:hAnsi="Alef" w:cs="Alef"/>
          <w:rtl/>
        </w:rPr>
        <w:t xml:space="preserve"> </w:t>
      </w:r>
      <w:r w:rsidRPr="00341D62">
        <w:rPr>
          <w:rFonts w:ascii="Alef" w:hAnsi="Alef" w:cs="Alef" w:hint="eastAsia"/>
          <w:rtl/>
        </w:rPr>
        <w:t>יהיה</w:t>
      </w:r>
      <w:r w:rsidRPr="00341D62">
        <w:rPr>
          <w:rFonts w:ascii="Alef" w:hAnsi="Alef" w:cs="Alef"/>
          <w:rtl/>
        </w:rPr>
        <w:t xml:space="preserve"> רשאי </w:t>
      </w:r>
      <w:r w:rsidRPr="00341D62">
        <w:rPr>
          <w:rFonts w:ascii="Alef" w:hAnsi="Alef" w:cs="Alef" w:hint="eastAsia"/>
          <w:rtl/>
        </w:rPr>
        <w:t>הרגולטור</w:t>
      </w:r>
      <w:r w:rsidRPr="00341D62">
        <w:rPr>
          <w:rFonts w:ascii="Alef" w:hAnsi="Alef" w:cs="Alef"/>
          <w:rtl/>
        </w:rPr>
        <w:t xml:space="preserve">, </w:t>
      </w:r>
      <w:r w:rsidRPr="00341D62">
        <w:rPr>
          <w:rFonts w:ascii="Alef" w:hAnsi="Alef" w:cs="Alef" w:hint="eastAsia"/>
          <w:rtl/>
        </w:rPr>
        <w:t>בבואו</w:t>
      </w:r>
      <w:r w:rsidRPr="00341D62">
        <w:rPr>
          <w:rFonts w:ascii="Alef" w:hAnsi="Alef" w:cs="Alef"/>
          <w:rtl/>
        </w:rPr>
        <w:t xml:space="preserve"> </w:t>
      </w:r>
      <w:r w:rsidRPr="00341D62">
        <w:rPr>
          <w:rFonts w:ascii="Alef" w:hAnsi="Alef" w:cs="Alef" w:hint="eastAsia"/>
          <w:rtl/>
        </w:rPr>
        <w:t>לשקול</w:t>
      </w:r>
      <w:r w:rsidRPr="00341D62">
        <w:rPr>
          <w:rFonts w:ascii="Alef" w:hAnsi="Alef" w:cs="Alef"/>
          <w:rtl/>
        </w:rPr>
        <w:t xml:space="preserve"> </w:t>
      </w:r>
      <w:r w:rsidRPr="00341D62">
        <w:rPr>
          <w:rFonts w:ascii="Alef" w:hAnsi="Alef" w:cs="Alef" w:hint="eastAsia"/>
          <w:rtl/>
        </w:rPr>
        <w:t>שיקולי</w:t>
      </w:r>
      <w:r w:rsidRPr="00341D62">
        <w:rPr>
          <w:rFonts w:ascii="Alef" w:hAnsi="Alef" w:cs="Alef"/>
          <w:rtl/>
        </w:rPr>
        <w:t xml:space="preserve"> </w:t>
      </w:r>
      <w:r w:rsidRPr="00341D62">
        <w:rPr>
          <w:rFonts w:ascii="Alef" w:hAnsi="Alef" w:cs="Alef" w:hint="eastAsia"/>
          <w:rtl/>
        </w:rPr>
        <w:t>תחרות</w:t>
      </w:r>
      <w:r w:rsidRPr="00341D62">
        <w:rPr>
          <w:rFonts w:ascii="Alef" w:hAnsi="Alef" w:cs="Alef"/>
          <w:rtl/>
        </w:rPr>
        <w:t xml:space="preserve">, להתייעץ </w:t>
      </w:r>
      <w:r w:rsidRPr="00341D62">
        <w:rPr>
          <w:rFonts w:ascii="Alef" w:hAnsi="Alef" w:cs="Alef" w:hint="eastAsia"/>
          <w:rtl/>
        </w:rPr>
        <w:t>עם</w:t>
      </w:r>
      <w:r w:rsidRPr="00341D62">
        <w:rPr>
          <w:rFonts w:ascii="Alef" w:hAnsi="Alef" w:cs="Alef"/>
          <w:rtl/>
        </w:rPr>
        <w:t xml:space="preserve"> </w:t>
      </w:r>
      <w:r w:rsidRPr="00341D62">
        <w:rPr>
          <w:rFonts w:ascii="Alef" w:hAnsi="Alef" w:cs="Alef" w:hint="eastAsia"/>
          <w:rtl/>
        </w:rPr>
        <w:t>רשות</w:t>
      </w:r>
      <w:r w:rsidRPr="00341D62">
        <w:rPr>
          <w:rFonts w:ascii="Alef" w:hAnsi="Alef" w:cs="Alef"/>
          <w:rtl/>
        </w:rPr>
        <w:t xml:space="preserve"> </w:t>
      </w:r>
      <w:r w:rsidRPr="00341D62">
        <w:rPr>
          <w:rFonts w:ascii="Alef" w:hAnsi="Alef" w:cs="Alef" w:hint="eastAsia"/>
          <w:rtl/>
        </w:rPr>
        <w:t>התחרות</w:t>
      </w:r>
      <w:r w:rsidRPr="00341D62">
        <w:rPr>
          <w:rFonts w:ascii="Alef" w:hAnsi="Alef" w:cs="Alef"/>
          <w:rtl/>
        </w:rPr>
        <w:t xml:space="preserve">. כך, </w:t>
      </w:r>
      <w:r w:rsidRPr="00341D62">
        <w:rPr>
          <w:rFonts w:ascii="Alef" w:hAnsi="Alef" w:cs="Alef" w:hint="eastAsia"/>
          <w:rtl/>
        </w:rPr>
        <w:t>תוכל</w:t>
      </w:r>
      <w:r w:rsidRPr="00341D62">
        <w:rPr>
          <w:rFonts w:ascii="Alef" w:hAnsi="Alef" w:cs="Alef"/>
          <w:rtl/>
        </w:rPr>
        <w:t xml:space="preserve"> </w:t>
      </w:r>
      <w:r w:rsidRPr="00341D62">
        <w:rPr>
          <w:rFonts w:ascii="Alef" w:hAnsi="Alef" w:cs="Alef" w:hint="eastAsia"/>
          <w:rtl/>
        </w:rPr>
        <w:t>הרשות</w:t>
      </w:r>
      <w:r w:rsidRPr="00341D62">
        <w:rPr>
          <w:rFonts w:ascii="Alef" w:hAnsi="Alef" w:cs="Alef"/>
          <w:rtl/>
        </w:rPr>
        <w:t xml:space="preserve"> </w:t>
      </w:r>
      <w:r w:rsidRPr="00341D62">
        <w:rPr>
          <w:rFonts w:ascii="Alef" w:hAnsi="Alef" w:cs="Alef" w:hint="eastAsia"/>
          <w:rtl/>
        </w:rPr>
        <w:t>לסייע</w:t>
      </w:r>
      <w:r w:rsidRPr="00341D62">
        <w:rPr>
          <w:rFonts w:ascii="Alef" w:hAnsi="Alef" w:cs="Alef"/>
          <w:rtl/>
        </w:rPr>
        <w:t xml:space="preserve"> </w:t>
      </w:r>
      <w:r w:rsidRPr="00341D62">
        <w:rPr>
          <w:rFonts w:ascii="Alef" w:hAnsi="Alef" w:cs="Alef" w:hint="eastAsia"/>
          <w:rtl/>
        </w:rPr>
        <w:t>לרגולטורים</w:t>
      </w:r>
      <w:r w:rsidRPr="00341D62">
        <w:rPr>
          <w:rFonts w:ascii="Alef" w:hAnsi="Alef" w:cs="Alef"/>
          <w:rtl/>
        </w:rPr>
        <w:t xml:space="preserve"> </w:t>
      </w:r>
      <w:r w:rsidRPr="00341D62">
        <w:rPr>
          <w:rFonts w:ascii="Alef" w:hAnsi="Alef" w:cs="Alef" w:hint="eastAsia"/>
          <w:rtl/>
        </w:rPr>
        <w:t>לקבל</w:t>
      </w:r>
      <w:r w:rsidRPr="00341D62">
        <w:rPr>
          <w:rFonts w:ascii="Alef" w:hAnsi="Alef" w:cs="Alef"/>
          <w:rtl/>
        </w:rPr>
        <w:t xml:space="preserve"> </w:t>
      </w:r>
      <w:r w:rsidRPr="00341D62">
        <w:rPr>
          <w:rFonts w:ascii="Alef" w:hAnsi="Alef" w:cs="Alef" w:hint="eastAsia"/>
          <w:rtl/>
        </w:rPr>
        <w:t>את</w:t>
      </w:r>
      <w:r w:rsidRPr="00341D62">
        <w:rPr>
          <w:rFonts w:ascii="Alef" w:hAnsi="Alef" w:cs="Alef"/>
          <w:rtl/>
        </w:rPr>
        <w:t xml:space="preserve"> </w:t>
      </w:r>
      <w:r w:rsidRPr="00341D62">
        <w:rPr>
          <w:rFonts w:ascii="Alef" w:hAnsi="Alef" w:cs="Alef" w:hint="eastAsia"/>
          <w:rtl/>
        </w:rPr>
        <w:t>החלטתם</w:t>
      </w:r>
      <w:r w:rsidRPr="00341D62">
        <w:rPr>
          <w:rFonts w:ascii="Alef" w:hAnsi="Alef" w:cs="Alef"/>
          <w:rtl/>
        </w:rPr>
        <w:t xml:space="preserve"> </w:t>
      </w:r>
      <w:r w:rsidRPr="00341D62">
        <w:rPr>
          <w:rFonts w:ascii="Alef" w:hAnsi="Alef" w:cs="Alef" w:hint="eastAsia"/>
          <w:rtl/>
        </w:rPr>
        <w:t>ולהגשים</w:t>
      </w:r>
      <w:r w:rsidRPr="00341D62">
        <w:rPr>
          <w:rFonts w:ascii="Alef" w:hAnsi="Alef" w:cs="Alef"/>
          <w:rtl/>
        </w:rPr>
        <w:t xml:space="preserve"> את מטרת </w:t>
      </w:r>
      <w:r w:rsidRPr="00341D62">
        <w:rPr>
          <w:rFonts w:ascii="Alef" w:hAnsi="Alef" w:cs="Alef" w:hint="eastAsia"/>
          <w:rtl/>
        </w:rPr>
        <w:t>סעיף</w:t>
      </w:r>
      <w:r w:rsidRPr="00341D62">
        <w:rPr>
          <w:rFonts w:ascii="Alef" w:hAnsi="Alef" w:cs="Alef"/>
          <w:rtl/>
        </w:rPr>
        <w:t xml:space="preserve"> 2א(4). </w:t>
      </w:r>
    </w:p>
    <w:p w14:paraId="5B36EB63" w14:textId="72F3CC97" w:rsidR="00000F5C" w:rsidRPr="00341D62" w:rsidRDefault="00700944" w:rsidP="00341D62">
      <w:pPr>
        <w:spacing w:before="120"/>
        <w:rPr>
          <w:rFonts w:ascii="Alef" w:hAnsi="Alef" w:cs="Alef"/>
          <w:rtl/>
        </w:rPr>
      </w:pPr>
      <w:r>
        <w:rPr>
          <w:rFonts w:ascii="Alef" w:hAnsi="Alef" w:cs="Alef" w:hint="cs"/>
          <w:rtl/>
        </w:rPr>
        <w:t xml:space="preserve">כמו כן, </w:t>
      </w:r>
      <w:r w:rsidR="00000F5C" w:rsidRPr="00341D62">
        <w:rPr>
          <w:rFonts w:ascii="Alef" w:hAnsi="Alef" w:cs="Alef" w:hint="eastAsia"/>
          <w:rtl/>
        </w:rPr>
        <w:t>אנו</w:t>
      </w:r>
      <w:r w:rsidR="00000F5C" w:rsidRPr="00341D62">
        <w:rPr>
          <w:rFonts w:ascii="Alef" w:hAnsi="Alef" w:cs="Alef"/>
          <w:rtl/>
        </w:rPr>
        <w:t xml:space="preserve"> רואים חשיבות רבה בהוספת שני עקרונות </w:t>
      </w:r>
      <w:r w:rsidR="00000F5C" w:rsidRPr="00341D62">
        <w:rPr>
          <w:rFonts w:ascii="Alef" w:hAnsi="Alef" w:cs="Alef" w:hint="eastAsia"/>
          <w:rtl/>
        </w:rPr>
        <w:t>מנחים</w:t>
      </w:r>
      <w:r w:rsidR="00000F5C" w:rsidRPr="00341D62">
        <w:rPr>
          <w:rFonts w:ascii="Alef" w:hAnsi="Alef" w:cs="Alef"/>
          <w:rtl/>
        </w:rPr>
        <w:t xml:space="preserve"> לעקרונות שנקבעו בסעיף 2(א) להצעת המחליטים:</w:t>
      </w:r>
    </w:p>
    <w:p w14:paraId="64F12116" w14:textId="77777777" w:rsidR="00000F5C" w:rsidRPr="002043E2" w:rsidRDefault="00000F5C" w:rsidP="00000F5C">
      <w:pPr>
        <w:numPr>
          <w:ilvl w:val="0"/>
          <w:numId w:val="43"/>
        </w:numPr>
        <w:spacing w:before="120"/>
        <w:contextualSpacing/>
        <w:rPr>
          <w:rFonts w:ascii="Alef" w:hAnsi="Alef" w:cs="Alef"/>
          <w:rtl/>
        </w:rPr>
      </w:pPr>
      <w:r w:rsidRPr="002043E2">
        <w:rPr>
          <w:rFonts w:ascii="Alef" w:hAnsi="Alef" w:cs="Alef"/>
          <w:rtl/>
        </w:rPr>
        <w:lastRenderedPageBreak/>
        <w:t>עקרון שייקבע כי "</w:t>
      </w:r>
      <w:r w:rsidRPr="002043E2">
        <w:rPr>
          <w:rFonts w:ascii="Alef" w:hAnsi="Alef" w:cs="Alef"/>
          <w:b/>
          <w:bCs/>
          <w:rtl/>
        </w:rPr>
        <w:t>הרגולציה תהיה מוכוונת תוצאה ולא תהליך</w:t>
      </w:r>
      <w:r w:rsidRPr="002043E2">
        <w:rPr>
          <w:rFonts w:ascii="Alef" w:hAnsi="Alef" w:cs="Alef"/>
          <w:rtl/>
        </w:rPr>
        <w:t xml:space="preserve">". </w:t>
      </w:r>
    </w:p>
    <w:p w14:paraId="118F26F5" w14:textId="77777777" w:rsidR="00000F5C" w:rsidRPr="002043E2" w:rsidRDefault="00000F5C" w:rsidP="00000F5C">
      <w:pPr>
        <w:pStyle w:val="ListParagraph"/>
        <w:spacing w:before="120"/>
        <w:ind w:left="1080"/>
        <w:rPr>
          <w:rFonts w:ascii="Alef" w:hAnsi="Alef" w:cs="Alef"/>
        </w:rPr>
      </w:pPr>
      <w:r w:rsidRPr="002043E2">
        <w:rPr>
          <w:rFonts w:ascii="Alef" w:hAnsi="Alef" w:cs="Alef"/>
          <w:rtl/>
        </w:rPr>
        <w:t xml:space="preserve">פעמים רבות, על מנת להגיע לתוצאה מסוימת, רגולטורים קובעים ברגולציה את האופן שבו יש להגיע לתוצאה הרצויה. </w:t>
      </w:r>
      <w:r>
        <w:rPr>
          <w:rFonts w:ascii="Alef" w:hAnsi="Alef" w:cs="Alef" w:hint="cs"/>
          <w:rtl/>
        </w:rPr>
        <w:t>כך</w:t>
      </w:r>
      <w:r w:rsidRPr="002043E2">
        <w:rPr>
          <w:rFonts w:ascii="Alef" w:hAnsi="Alef" w:cs="Alef"/>
          <w:rtl/>
        </w:rPr>
        <w:t xml:space="preserve">, מייצרים הרגולטורים חסמי כניסה עבור חברות שיש בידיהן דרכים אחרות להגיע לאותה תוצאה, מדכאים את החדשנות והתמריץ למצוא פתרונות יצירתיים ומפחיתים את מספר השחקנים בשוק. </w:t>
      </w:r>
      <w:r>
        <w:rPr>
          <w:rFonts w:ascii="Alef" w:hAnsi="Alef" w:cs="Alef" w:hint="cs"/>
          <w:rtl/>
        </w:rPr>
        <w:t>על הרגולטורים לקבוע</w:t>
      </w:r>
      <w:r w:rsidRPr="002043E2">
        <w:rPr>
          <w:rFonts w:ascii="Alef" w:hAnsi="Alef" w:cs="Alef"/>
          <w:rtl/>
        </w:rPr>
        <w:t xml:space="preserve"> רגולציה שמנחה את השוק ביחס לתוצאה אך משאירה עבור השוק את הדרכים להגיע אליה.</w:t>
      </w:r>
      <w:r>
        <w:rPr>
          <w:rStyle w:val="FootnoteReference"/>
          <w:rFonts w:ascii="Alef" w:hAnsi="Alef" w:cs="Alef"/>
        </w:rPr>
        <w:footnoteReference w:id="10"/>
      </w:r>
    </w:p>
    <w:p w14:paraId="3BD62FF0" w14:textId="77777777" w:rsidR="00000F5C" w:rsidRPr="002043E2" w:rsidRDefault="00000F5C" w:rsidP="00000F5C">
      <w:pPr>
        <w:numPr>
          <w:ilvl w:val="0"/>
          <w:numId w:val="43"/>
        </w:numPr>
        <w:spacing w:before="120"/>
        <w:contextualSpacing/>
        <w:rPr>
          <w:rFonts w:ascii="Alef" w:hAnsi="Alef" w:cs="Alef"/>
          <w:rtl/>
        </w:rPr>
      </w:pPr>
      <w:r w:rsidRPr="002043E2">
        <w:rPr>
          <w:rFonts w:ascii="Alef" w:hAnsi="Alef" w:cs="Alef"/>
          <w:rtl/>
        </w:rPr>
        <w:t>עקרון שייקבע כי "</w:t>
      </w:r>
      <w:r w:rsidRPr="002043E2">
        <w:rPr>
          <w:rFonts w:ascii="Alef" w:hAnsi="Alef" w:cs="Alef"/>
          <w:b/>
          <w:bCs/>
          <w:rtl/>
        </w:rPr>
        <w:t>יש להעדיף רגולציה שבה הפיקוח נעשה בדיעבד ולא מראש</w:t>
      </w:r>
      <w:r w:rsidRPr="002043E2">
        <w:rPr>
          <w:rFonts w:ascii="Alef" w:hAnsi="Alef" w:cs="Alef"/>
          <w:rtl/>
        </w:rPr>
        <w:t>".</w:t>
      </w:r>
      <w:r>
        <w:rPr>
          <w:rStyle w:val="FootnoteReference"/>
          <w:rFonts w:ascii="Alef" w:hAnsi="Alef" w:cs="Alef"/>
          <w:rtl/>
        </w:rPr>
        <w:footnoteReference w:id="11"/>
      </w:r>
      <w:r w:rsidRPr="002043E2">
        <w:rPr>
          <w:rFonts w:ascii="Alef" w:hAnsi="Alef" w:cs="Alef"/>
          <w:rtl/>
        </w:rPr>
        <w:t xml:space="preserve"> </w:t>
      </w:r>
    </w:p>
    <w:p w14:paraId="22F9E71A" w14:textId="77777777" w:rsidR="00000F5C" w:rsidRDefault="00000F5C" w:rsidP="00000F5C">
      <w:pPr>
        <w:pStyle w:val="ListParagraph"/>
        <w:spacing w:before="120"/>
        <w:ind w:left="1080"/>
        <w:rPr>
          <w:rFonts w:ascii="Alef" w:hAnsi="Alef" w:cs="Alef"/>
          <w:rtl/>
        </w:rPr>
      </w:pPr>
      <w:r w:rsidRPr="002043E2">
        <w:rPr>
          <w:rFonts w:ascii="Alef" w:hAnsi="Alef" w:cs="Alef"/>
          <w:rtl/>
        </w:rPr>
        <w:t xml:space="preserve"> עצם העובדה שנדרש אישור מראש מהרגולטור בדבר עמידה בתנאי הרגולציה כתנאי לפעילות</w:t>
      </w:r>
      <w:r>
        <w:rPr>
          <w:rFonts w:ascii="Alef" w:hAnsi="Alef" w:cs="Alef" w:hint="cs"/>
          <w:rtl/>
        </w:rPr>
        <w:t xml:space="preserve">, </w:t>
      </w:r>
      <w:r w:rsidRPr="002043E2">
        <w:rPr>
          <w:rFonts w:ascii="Alef" w:hAnsi="Alef" w:cs="Alef"/>
          <w:rtl/>
        </w:rPr>
        <w:t xml:space="preserve">מהווה רגולציה מכבידה מאוד אשר יוצרת עלויות רבות למפוקחים ומעכבת את ההתפתחות התחרותית בשוק. הגיעה העת לאפשר לשחקנים בשוק לבחון בעצמם האם הם עומדים בתנאי הרגולציה ולאפשר לרגולטור למקד את פעילותו באכיפה כנגד גופים שמפרים את החוק במקום ברישוי גופים שעומדים בכל הוראות החוק. </w:t>
      </w:r>
    </w:p>
    <w:p w14:paraId="68238CE9" w14:textId="77777777" w:rsidR="00000F5C" w:rsidRPr="00341D62" w:rsidRDefault="00000F5C" w:rsidP="00341D62">
      <w:pPr>
        <w:spacing w:before="120"/>
        <w:rPr>
          <w:rFonts w:ascii="Alef" w:hAnsi="Alef" w:cs="Alef"/>
        </w:rPr>
      </w:pPr>
      <w:r w:rsidRPr="00341D62">
        <w:rPr>
          <w:rFonts w:ascii="Alef" w:hAnsi="Alef" w:cs="Alef" w:hint="eastAsia"/>
          <w:rtl/>
        </w:rPr>
        <w:t>מדובר</w:t>
      </w:r>
      <w:r w:rsidRPr="00341D62">
        <w:rPr>
          <w:rFonts w:ascii="Alef" w:hAnsi="Alef" w:cs="Alef"/>
          <w:rtl/>
        </w:rPr>
        <w:t xml:space="preserve"> כמובן בעקרונות מנחים ולא עקרונות מחייבים בכל מצב. הרגולטור יידרש לשקול את האפשרויות ולאזן את השיקול אל מול שיקולים נוספים העומדים לנגד עיניו. </w:t>
      </w:r>
    </w:p>
    <w:p w14:paraId="36E1B6E3" w14:textId="003A363B" w:rsidR="00000F5C" w:rsidRDefault="00000F5C" w:rsidP="00341D62">
      <w:pPr>
        <w:spacing w:before="120"/>
        <w:rPr>
          <w:rFonts w:ascii="Alef" w:hAnsi="Alef" w:cs="Alef"/>
          <w:rtl/>
        </w:rPr>
      </w:pPr>
      <w:r w:rsidRPr="00341D62">
        <w:rPr>
          <w:rFonts w:ascii="Alef" w:hAnsi="Alef" w:cs="Alef" w:hint="eastAsia"/>
          <w:b/>
          <w:bCs/>
          <w:rtl/>
        </w:rPr>
        <w:t>אנו</w:t>
      </w:r>
      <w:r w:rsidRPr="00341D62">
        <w:rPr>
          <w:rFonts w:ascii="Alef" w:hAnsi="Alef" w:cs="Alef"/>
          <w:b/>
          <w:bCs/>
          <w:rtl/>
        </w:rPr>
        <w:t xml:space="preserve"> </w:t>
      </w:r>
      <w:r w:rsidRPr="00341D62">
        <w:rPr>
          <w:rFonts w:ascii="Alef" w:hAnsi="Alef" w:cs="Alef" w:hint="eastAsia"/>
          <w:b/>
          <w:bCs/>
          <w:rtl/>
        </w:rPr>
        <w:t>סבורים</w:t>
      </w:r>
      <w:r w:rsidRPr="00341D62">
        <w:rPr>
          <w:rFonts w:ascii="Alef" w:hAnsi="Alef" w:cs="Alef"/>
          <w:b/>
          <w:bCs/>
          <w:rtl/>
        </w:rPr>
        <w:t xml:space="preserve"> </w:t>
      </w:r>
      <w:r w:rsidRPr="00341D62">
        <w:rPr>
          <w:rFonts w:ascii="Alef" w:hAnsi="Alef" w:cs="Alef" w:hint="eastAsia"/>
          <w:b/>
          <w:bCs/>
          <w:rtl/>
        </w:rPr>
        <w:t>כי</w:t>
      </w:r>
      <w:r w:rsidRPr="00341D62">
        <w:rPr>
          <w:rFonts w:ascii="Alef" w:hAnsi="Alef" w:cs="Alef"/>
          <w:b/>
          <w:bCs/>
          <w:rtl/>
        </w:rPr>
        <w:t xml:space="preserve"> </w:t>
      </w:r>
      <w:r w:rsidRPr="00341D62">
        <w:rPr>
          <w:rFonts w:ascii="Alef" w:hAnsi="Alef" w:cs="Alef" w:hint="eastAsia"/>
          <w:b/>
          <w:bCs/>
          <w:rtl/>
        </w:rPr>
        <w:t>החרגת</w:t>
      </w:r>
      <w:r w:rsidRPr="00341D62">
        <w:rPr>
          <w:rFonts w:ascii="Alef" w:hAnsi="Alef" w:cs="Alef"/>
          <w:b/>
          <w:bCs/>
          <w:rtl/>
        </w:rPr>
        <w:t xml:space="preserve"> </w:t>
      </w:r>
      <w:r w:rsidRPr="00341D62">
        <w:rPr>
          <w:rFonts w:ascii="Alef" w:hAnsi="Alef" w:cs="Alef" w:hint="eastAsia"/>
          <w:b/>
          <w:bCs/>
          <w:rtl/>
        </w:rPr>
        <w:t>הרגולטורים</w:t>
      </w:r>
      <w:r w:rsidRPr="00341D62">
        <w:rPr>
          <w:rFonts w:ascii="Alef" w:hAnsi="Alef" w:cs="Alef"/>
          <w:b/>
          <w:bCs/>
          <w:rtl/>
        </w:rPr>
        <w:t xml:space="preserve"> </w:t>
      </w:r>
      <w:r w:rsidRPr="00341D62">
        <w:rPr>
          <w:rFonts w:ascii="Alef" w:hAnsi="Alef" w:cs="Alef" w:hint="eastAsia"/>
          <w:b/>
          <w:bCs/>
          <w:rtl/>
        </w:rPr>
        <w:t>הפיננסיים</w:t>
      </w:r>
      <w:r w:rsidRPr="00341D62">
        <w:rPr>
          <w:rFonts w:ascii="Alef" w:hAnsi="Alef" w:cs="Alef"/>
          <w:b/>
          <w:bCs/>
          <w:rtl/>
        </w:rPr>
        <w:t xml:space="preserve"> </w:t>
      </w:r>
      <w:r w:rsidRPr="00341D62">
        <w:rPr>
          <w:rFonts w:ascii="Alef" w:hAnsi="Alef" w:cs="Alef" w:hint="eastAsia"/>
          <w:b/>
          <w:bCs/>
          <w:rtl/>
        </w:rPr>
        <w:t>מהתכנית</w:t>
      </w:r>
      <w:r w:rsidRPr="00341D62">
        <w:rPr>
          <w:rFonts w:ascii="Alef" w:hAnsi="Alef" w:cs="Alef"/>
          <w:b/>
          <w:bCs/>
          <w:rtl/>
        </w:rPr>
        <w:t xml:space="preserve"> הלאומית </w:t>
      </w:r>
      <w:r w:rsidRPr="00341D62">
        <w:rPr>
          <w:rFonts w:ascii="Alef" w:hAnsi="Alef" w:cs="Alef" w:hint="eastAsia"/>
          <w:b/>
          <w:bCs/>
          <w:rtl/>
        </w:rPr>
        <w:t>לשיפור</w:t>
      </w:r>
      <w:r w:rsidRPr="00341D62">
        <w:rPr>
          <w:rFonts w:ascii="Alef" w:hAnsi="Alef" w:cs="Alef"/>
          <w:b/>
          <w:bCs/>
          <w:rtl/>
        </w:rPr>
        <w:t xml:space="preserve"> </w:t>
      </w:r>
      <w:r w:rsidRPr="00341D62">
        <w:rPr>
          <w:rFonts w:ascii="Alef" w:hAnsi="Alef" w:cs="Alef" w:hint="eastAsia"/>
          <w:b/>
          <w:bCs/>
          <w:rtl/>
        </w:rPr>
        <w:t>הרגולציה</w:t>
      </w:r>
      <w:r w:rsidRPr="00341D62">
        <w:rPr>
          <w:rFonts w:ascii="Alef" w:hAnsi="Alef" w:cs="Alef"/>
          <w:b/>
          <w:bCs/>
          <w:rtl/>
        </w:rPr>
        <w:t xml:space="preserve"> (</w:t>
      </w:r>
      <w:r w:rsidRPr="00341D62">
        <w:rPr>
          <w:rFonts w:ascii="Alef" w:hAnsi="Alef" w:cs="Alef" w:hint="eastAsia"/>
          <w:b/>
          <w:bCs/>
          <w:rtl/>
        </w:rPr>
        <w:t>סעיף</w:t>
      </w:r>
      <w:r w:rsidRPr="00341D62">
        <w:rPr>
          <w:rFonts w:ascii="Alef" w:hAnsi="Alef" w:cs="Alef"/>
          <w:b/>
          <w:bCs/>
          <w:rtl/>
        </w:rPr>
        <w:t xml:space="preserve"> </w:t>
      </w:r>
      <w:r w:rsidRPr="00341D62">
        <w:rPr>
          <w:rFonts w:ascii="Alef" w:hAnsi="Alef" w:cs="Alef" w:hint="eastAsia"/>
          <w:b/>
          <w:bCs/>
          <w:rtl/>
        </w:rPr>
        <w:t>י</w:t>
      </w:r>
      <w:r w:rsidRPr="00341D62">
        <w:rPr>
          <w:rFonts w:ascii="Alef" w:hAnsi="Alef" w:cs="Alef"/>
          <w:b/>
          <w:bCs/>
          <w:rtl/>
        </w:rPr>
        <w:t xml:space="preserve">' </w:t>
      </w:r>
      <w:r w:rsidRPr="00341D62">
        <w:rPr>
          <w:rFonts w:ascii="Alef" w:hAnsi="Alef" w:cs="Alef" w:hint="eastAsia"/>
          <w:b/>
          <w:bCs/>
          <w:rtl/>
        </w:rPr>
        <w:t>להצעת</w:t>
      </w:r>
      <w:r w:rsidRPr="00341D62">
        <w:rPr>
          <w:rFonts w:ascii="Alef" w:hAnsi="Alef" w:cs="Alef"/>
          <w:b/>
          <w:bCs/>
          <w:rtl/>
        </w:rPr>
        <w:t xml:space="preserve"> </w:t>
      </w:r>
      <w:r w:rsidRPr="00341D62">
        <w:rPr>
          <w:rFonts w:ascii="Alef" w:hAnsi="Alef" w:cs="Alef" w:hint="eastAsia"/>
          <w:b/>
          <w:bCs/>
          <w:rtl/>
        </w:rPr>
        <w:t>המחליטים</w:t>
      </w:r>
      <w:r w:rsidRPr="00341D62">
        <w:rPr>
          <w:rFonts w:ascii="Alef" w:hAnsi="Alef" w:cs="Alef"/>
          <w:b/>
          <w:bCs/>
          <w:rtl/>
        </w:rPr>
        <w:t>) אינה במקומה.</w:t>
      </w:r>
      <w:r w:rsidRPr="00341D62">
        <w:rPr>
          <w:rFonts w:ascii="Alef" w:hAnsi="Alef" w:cs="Alef"/>
          <w:rtl/>
        </w:rPr>
        <w:t xml:space="preserve"> </w:t>
      </w:r>
      <w:r w:rsidRPr="00341D62">
        <w:rPr>
          <w:rFonts w:ascii="Alef" w:hAnsi="Alef" w:cs="Alef" w:hint="eastAsia"/>
          <w:rtl/>
        </w:rPr>
        <w:t>על</w:t>
      </w:r>
      <w:r w:rsidRPr="00341D62">
        <w:rPr>
          <w:rFonts w:ascii="Alef" w:hAnsi="Alef" w:cs="Alef"/>
          <w:rtl/>
        </w:rPr>
        <w:t xml:space="preserve"> פי </w:t>
      </w:r>
      <w:r w:rsidRPr="00341D62">
        <w:rPr>
          <w:rFonts w:ascii="Alef" w:hAnsi="Alef" w:cs="Alef" w:hint="eastAsia"/>
          <w:rtl/>
        </w:rPr>
        <w:t>ה</w:t>
      </w:r>
      <w:r w:rsidRPr="00341D62">
        <w:rPr>
          <w:rFonts w:ascii="Alef" w:hAnsi="Alef" w:cs="Alef"/>
          <w:rtl/>
        </w:rPr>
        <w:t xml:space="preserve">נוסח </w:t>
      </w:r>
      <w:r w:rsidRPr="00341D62">
        <w:rPr>
          <w:rFonts w:ascii="Alef" w:hAnsi="Alef" w:cs="Alef" w:hint="eastAsia"/>
          <w:rtl/>
        </w:rPr>
        <w:t>הנוכחי</w:t>
      </w:r>
      <w:r w:rsidRPr="00341D62">
        <w:rPr>
          <w:rFonts w:ascii="Alef" w:hAnsi="Alef" w:cs="Alef"/>
          <w:rtl/>
        </w:rPr>
        <w:t xml:space="preserve">, </w:t>
      </w:r>
      <w:r w:rsidRPr="00341D62">
        <w:rPr>
          <w:rFonts w:ascii="Alef" w:hAnsi="Alef" w:cs="Alef" w:hint="eastAsia"/>
          <w:rtl/>
        </w:rPr>
        <w:t>הרגולטורים</w:t>
      </w:r>
      <w:r w:rsidRPr="00341D62">
        <w:rPr>
          <w:rFonts w:ascii="Alef" w:hAnsi="Alef" w:cs="Alef"/>
          <w:rtl/>
        </w:rPr>
        <w:t xml:space="preserve"> </w:t>
      </w:r>
      <w:r w:rsidRPr="00341D62">
        <w:rPr>
          <w:rFonts w:ascii="Alef" w:hAnsi="Alef" w:cs="Alef" w:hint="eastAsia"/>
          <w:rtl/>
        </w:rPr>
        <w:t>הפיננסיים</w:t>
      </w:r>
      <w:r w:rsidRPr="00341D62">
        <w:rPr>
          <w:rFonts w:ascii="Alef" w:hAnsi="Alef" w:cs="Alef"/>
          <w:rtl/>
        </w:rPr>
        <w:t xml:space="preserve"> </w:t>
      </w:r>
      <w:r w:rsidRPr="00341D62">
        <w:rPr>
          <w:rFonts w:ascii="Alef" w:hAnsi="Alef" w:cs="Alef" w:hint="eastAsia"/>
          <w:rtl/>
        </w:rPr>
        <w:t>לא</w:t>
      </w:r>
      <w:r w:rsidRPr="00341D62">
        <w:rPr>
          <w:rFonts w:ascii="Alef" w:hAnsi="Alef" w:cs="Alef"/>
          <w:rtl/>
        </w:rPr>
        <w:t xml:space="preserve"> </w:t>
      </w:r>
      <w:r w:rsidRPr="00341D62">
        <w:rPr>
          <w:rFonts w:ascii="Alef" w:hAnsi="Alef" w:cs="Alef" w:hint="eastAsia"/>
          <w:rtl/>
        </w:rPr>
        <w:t>יחויבו</w:t>
      </w:r>
      <w:r w:rsidRPr="00341D62">
        <w:rPr>
          <w:rFonts w:ascii="Alef" w:hAnsi="Alef" w:cs="Alef"/>
          <w:rtl/>
        </w:rPr>
        <w:t xml:space="preserve"> </w:t>
      </w:r>
      <w:r w:rsidRPr="00341D62">
        <w:rPr>
          <w:rFonts w:ascii="Alef" w:hAnsi="Alef" w:cs="Alef" w:hint="eastAsia"/>
          <w:rtl/>
        </w:rPr>
        <w:t>לשקול</w:t>
      </w:r>
      <w:r w:rsidRPr="00341D62">
        <w:rPr>
          <w:rFonts w:ascii="Alef" w:hAnsi="Alef" w:cs="Alef"/>
          <w:rtl/>
        </w:rPr>
        <w:t xml:space="preserve"> </w:t>
      </w:r>
      <w:r w:rsidRPr="00341D62">
        <w:rPr>
          <w:rFonts w:ascii="Alef" w:hAnsi="Alef" w:cs="Alef" w:hint="eastAsia"/>
          <w:rtl/>
        </w:rPr>
        <w:t>שיקולי</w:t>
      </w:r>
      <w:r w:rsidRPr="00341D62">
        <w:rPr>
          <w:rFonts w:ascii="Alef" w:hAnsi="Alef" w:cs="Alef"/>
          <w:rtl/>
        </w:rPr>
        <w:t xml:space="preserve"> </w:t>
      </w:r>
      <w:r w:rsidRPr="00341D62">
        <w:rPr>
          <w:rFonts w:ascii="Alef" w:hAnsi="Alef" w:cs="Alef" w:hint="eastAsia"/>
          <w:rtl/>
        </w:rPr>
        <w:t>תחרות</w:t>
      </w:r>
      <w:r w:rsidRPr="00341D62">
        <w:rPr>
          <w:rFonts w:ascii="Alef" w:hAnsi="Alef" w:cs="Alef"/>
          <w:rtl/>
        </w:rPr>
        <w:t xml:space="preserve">, </w:t>
      </w:r>
      <w:r w:rsidRPr="00341D62">
        <w:rPr>
          <w:rFonts w:ascii="Alef" w:hAnsi="Alef" w:cs="Alef" w:hint="eastAsia"/>
          <w:rtl/>
        </w:rPr>
        <w:t>והעקרונות</w:t>
      </w:r>
      <w:r w:rsidRPr="00341D62">
        <w:rPr>
          <w:rFonts w:ascii="Alef" w:hAnsi="Alef" w:cs="Alef"/>
          <w:rtl/>
        </w:rPr>
        <w:t xml:space="preserve"> המנחים בקביעת רגולציה לא יחולו לגביהם. </w:t>
      </w:r>
      <w:r w:rsidRPr="00341D62">
        <w:rPr>
          <w:rFonts w:ascii="Alef" w:hAnsi="Alef" w:cs="Alef"/>
          <w:rtl/>
        </w:rPr>
        <w:lastRenderedPageBreak/>
        <w:t xml:space="preserve">מבחינה זו, ההחלטה המסתמנת היא לצערנו </w:t>
      </w:r>
      <w:r w:rsidRPr="00341D62">
        <w:rPr>
          <w:rFonts w:ascii="Alef" w:hAnsi="Alef" w:cs="Alef" w:hint="eastAsia"/>
          <w:rtl/>
        </w:rPr>
        <w:t>החמצה</w:t>
      </w:r>
      <w:r w:rsidRPr="00341D62">
        <w:rPr>
          <w:rFonts w:ascii="Alef" w:hAnsi="Alef" w:cs="Alef"/>
          <w:rtl/>
        </w:rPr>
        <w:t xml:space="preserve"> של הזדמנות חד-פעמית לשפר את הרגולציה </w:t>
      </w:r>
      <w:r w:rsidRPr="00341D62">
        <w:rPr>
          <w:rFonts w:ascii="Alef" w:hAnsi="Alef" w:cs="Alef" w:hint="eastAsia"/>
          <w:rtl/>
        </w:rPr>
        <w:t>המכבידה</w:t>
      </w:r>
      <w:r w:rsidRPr="00341D62">
        <w:rPr>
          <w:rFonts w:ascii="Alef" w:hAnsi="Alef" w:cs="Alef"/>
          <w:rtl/>
        </w:rPr>
        <w:t xml:space="preserve"> </w:t>
      </w:r>
      <w:r w:rsidRPr="00341D62">
        <w:rPr>
          <w:rFonts w:ascii="Alef" w:hAnsi="Alef" w:cs="Alef" w:hint="eastAsia"/>
          <w:rtl/>
        </w:rPr>
        <w:t>בתחום</w:t>
      </w:r>
      <w:r w:rsidRPr="00341D62">
        <w:rPr>
          <w:rFonts w:ascii="Alef" w:hAnsi="Alef" w:cs="Alef"/>
          <w:rtl/>
        </w:rPr>
        <w:t xml:space="preserve"> </w:t>
      </w:r>
      <w:r w:rsidRPr="00341D62">
        <w:rPr>
          <w:rFonts w:ascii="Alef" w:hAnsi="Alef" w:cs="Alef" w:hint="eastAsia"/>
          <w:rtl/>
        </w:rPr>
        <w:t>הפיננסי</w:t>
      </w:r>
      <w:r w:rsidRPr="00341D62">
        <w:rPr>
          <w:rFonts w:ascii="Alef" w:hAnsi="Alef" w:cs="Alef"/>
          <w:rtl/>
        </w:rPr>
        <w:t xml:space="preserve"> </w:t>
      </w:r>
      <w:r w:rsidRPr="00341D62">
        <w:rPr>
          <w:rFonts w:ascii="Alef" w:hAnsi="Alef" w:cs="Alef" w:hint="eastAsia"/>
          <w:rtl/>
        </w:rPr>
        <w:t>בישראל</w:t>
      </w:r>
      <w:r w:rsidRPr="00341D62">
        <w:rPr>
          <w:rFonts w:ascii="Alef" w:hAnsi="Alef" w:cs="Alef"/>
          <w:rtl/>
        </w:rPr>
        <w:t xml:space="preserve">, </w:t>
      </w:r>
      <w:r w:rsidRPr="00341D62">
        <w:rPr>
          <w:rFonts w:ascii="Alef" w:hAnsi="Alef" w:cs="Alef" w:hint="eastAsia"/>
          <w:rtl/>
        </w:rPr>
        <w:t>שאינה</w:t>
      </w:r>
      <w:r w:rsidRPr="00341D62">
        <w:rPr>
          <w:rFonts w:ascii="Alef" w:hAnsi="Alef" w:cs="Alef"/>
          <w:rtl/>
        </w:rPr>
        <w:t xml:space="preserve"> תואמת את </w:t>
      </w:r>
      <w:r w:rsidRPr="00341D62">
        <w:rPr>
          <w:rFonts w:ascii="Alef" w:hAnsi="Alef" w:cs="Alef" w:hint="eastAsia"/>
          <w:rtl/>
        </w:rPr>
        <w:t>הרגולציה</w:t>
      </w:r>
      <w:r w:rsidRPr="00341D62">
        <w:rPr>
          <w:rFonts w:ascii="Alef" w:hAnsi="Alef" w:cs="Alef"/>
          <w:rtl/>
        </w:rPr>
        <w:t xml:space="preserve"> המקובל</w:t>
      </w:r>
      <w:r w:rsidRPr="00341D62">
        <w:rPr>
          <w:rFonts w:ascii="Alef" w:hAnsi="Alef" w:cs="Alef" w:hint="eastAsia"/>
          <w:rtl/>
        </w:rPr>
        <w:t>ת</w:t>
      </w:r>
      <w:r w:rsidRPr="00341D62">
        <w:rPr>
          <w:rFonts w:ascii="Alef" w:hAnsi="Alef" w:cs="Alef"/>
          <w:rtl/>
        </w:rPr>
        <w:t xml:space="preserve"> בעולם וש</w:t>
      </w:r>
      <w:r w:rsidRPr="00341D62">
        <w:rPr>
          <w:rFonts w:ascii="Alef" w:hAnsi="Alef" w:cs="Alef" w:hint="eastAsia"/>
          <w:rtl/>
        </w:rPr>
        <w:t>במקרים</w:t>
      </w:r>
      <w:r w:rsidRPr="00341D62">
        <w:rPr>
          <w:rFonts w:ascii="Alef" w:hAnsi="Alef" w:cs="Alef"/>
          <w:rtl/>
        </w:rPr>
        <w:t xml:space="preserve"> רבים אינה קוהרנטית ומטילה הוראות שונות על פעולות דומות שמבצעים גופים </w:t>
      </w:r>
      <w:r w:rsidRPr="00341D62">
        <w:rPr>
          <w:rFonts w:ascii="Alef" w:hAnsi="Alef" w:cs="Alef" w:hint="eastAsia"/>
          <w:rtl/>
        </w:rPr>
        <w:t>שונים</w:t>
      </w:r>
      <w:r w:rsidRPr="00341D62">
        <w:rPr>
          <w:rFonts w:ascii="Alef" w:hAnsi="Alef" w:cs="Alef"/>
          <w:rtl/>
        </w:rPr>
        <w:t xml:space="preserve">, </w:t>
      </w:r>
      <w:r w:rsidRPr="00341D62">
        <w:rPr>
          <w:rFonts w:ascii="Alef" w:hAnsi="Alef" w:cs="Alef" w:hint="eastAsia"/>
          <w:rtl/>
        </w:rPr>
        <w:t>המפוקחים</w:t>
      </w:r>
      <w:r w:rsidRPr="00341D62">
        <w:rPr>
          <w:rFonts w:ascii="Alef" w:hAnsi="Alef" w:cs="Alef"/>
          <w:rtl/>
        </w:rPr>
        <w:t xml:space="preserve"> </w:t>
      </w:r>
      <w:r w:rsidRPr="00341D62">
        <w:rPr>
          <w:rFonts w:ascii="Alef" w:hAnsi="Alef" w:cs="Alef" w:hint="eastAsia"/>
          <w:rtl/>
        </w:rPr>
        <w:t>על</w:t>
      </w:r>
      <w:r w:rsidRPr="00341D62">
        <w:rPr>
          <w:rFonts w:ascii="Alef" w:hAnsi="Alef" w:cs="Alef"/>
          <w:rtl/>
        </w:rPr>
        <w:t xml:space="preserve"> </w:t>
      </w:r>
      <w:r w:rsidRPr="00341D62">
        <w:rPr>
          <w:rFonts w:ascii="Alef" w:hAnsi="Alef" w:cs="Alef" w:hint="eastAsia"/>
          <w:rtl/>
        </w:rPr>
        <w:t>ידי</w:t>
      </w:r>
      <w:r w:rsidRPr="00341D62">
        <w:rPr>
          <w:rFonts w:ascii="Alef" w:hAnsi="Alef" w:cs="Alef"/>
          <w:rtl/>
        </w:rPr>
        <w:t xml:space="preserve"> </w:t>
      </w:r>
      <w:r w:rsidRPr="00341D62">
        <w:rPr>
          <w:rFonts w:ascii="Alef" w:hAnsi="Alef" w:cs="Alef" w:hint="eastAsia"/>
          <w:rtl/>
        </w:rPr>
        <w:t>רגולטורים</w:t>
      </w:r>
      <w:r w:rsidRPr="00341D62">
        <w:rPr>
          <w:rFonts w:ascii="Alef" w:hAnsi="Alef" w:cs="Alef"/>
          <w:rtl/>
        </w:rPr>
        <w:t xml:space="preserve"> </w:t>
      </w:r>
      <w:r w:rsidRPr="00341D62">
        <w:rPr>
          <w:rFonts w:ascii="Alef" w:hAnsi="Alef" w:cs="Alef" w:hint="eastAsia"/>
          <w:rtl/>
        </w:rPr>
        <w:t>שונים</w:t>
      </w:r>
      <w:r w:rsidRPr="00341D62">
        <w:rPr>
          <w:rFonts w:ascii="Alef" w:hAnsi="Alef" w:cs="Alef"/>
          <w:rtl/>
        </w:rPr>
        <w:t xml:space="preserve">.  </w:t>
      </w:r>
    </w:p>
    <w:p w14:paraId="59495FF3" w14:textId="395742F3" w:rsidR="009D56EA" w:rsidRPr="009D56EA" w:rsidRDefault="009D56EA" w:rsidP="007B6B93">
      <w:pPr>
        <w:spacing w:before="120"/>
        <w:rPr>
          <w:rFonts w:ascii="Alef" w:hAnsi="Alef" w:cs="Alef"/>
          <w:rtl/>
        </w:rPr>
      </w:pPr>
      <w:r w:rsidRPr="009D56EA">
        <w:rPr>
          <w:rFonts w:ascii="Alef" w:hAnsi="Alef" w:cs="Alef"/>
          <w:rtl/>
        </w:rPr>
        <w:t xml:space="preserve">עיון במסמך </w:t>
      </w:r>
      <w:r w:rsidR="00AC1FA2">
        <w:rPr>
          <w:rFonts w:ascii="Alef" w:hAnsi="Alef" w:cs="Alef" w:hint="cs"/>
          <w:rtl/>
        </w:rPr>
        <w:t xml:space="preserve">שפורסם על ידי צוות </w:t>
      </w:r>
      <w:r w:rsidR="006A3E53">
        <w:rPr>
          <w:rFonts w:ascii="Alef" w:hAnsi="Alef" w:cs="Alef" w:hint="cs"/>
          <w:rtl/>
        </w:rPr>
        <w:t>רגולציה חכמה</w:t>
      </w:r>
      <w:r w:rsidR="00AC1FA2">
        <w:rPr>
          <w:rFonts w:ascii="Alef" w:hAnsi="Alef" w:cs="Alef" w:hint="cs"/>
          <w:rtl/>
        </w:rPr>
        <w:t xml:space="preserve"> </w:t>
      </w:r>
      <w:r w:rsidRPr="009D56EA">
        <w:rPr>
          <w:rFonts w:ascii="Alef" w:hAnsi="Alef" w:cs="Alef"/>
          <w:rtl/>
        </w:rPr>
        <w:t xml:space="preserve">מלמד </w:t>
      </w:r>
      <w:r w:rsidR="001C32FB">
        <w:rPr>
          <w:rFonts w:ascii="Alef" w:hAnsi="Alef" w:cs="Alef" w:hint="cs"/>
          <w:rtl/>
        </w:rPr>
        <w:t xml:space="preserve">שהוא מבקש לגזור גזירה שווה לנעשה בארה"ב ובריטניה בלבד תוך התעלמות ממדינות אחרות שנסקרו על ידי הצוות </w:t>
      </w:r>
      <w:proofErr w:type="spellStart"/>
      <w:r w:rsidR="001C32FB">
        <w:rPr>
          <w:rFonts w:ascii="Alef" w:hAnsi="Alef" w:cs="Alef" w:hint="cs"/>
          <w:rtl/>
        </w:rPr>
        <w:t>הבינמשרדי</w:t>
      </w:r>
      <w:proofErr w:type="spellEnd"/>
      <w:r w:rsidR="001C32FB">
        <w:rPr>
          <w:rFonts w:ascii="Alef" w:hAnsi="Alef" w:cs="Alef" w:hint="cs"/>
          <w:rtl/>
        </w:rPr>
        <w:t>:</w:t>
      </w:r>
      <w:r w:rsidR="00BE6FFC">
        <w:rPr>
          <w:rFonts w:ascii="Alef" w:hAnsi="Alef" w:cs="Alef" w:hint="cs"/>
          <w:rtl/>
        </w:rPr>
        <w:t xml:space="preserve"> </w:t>
      </w:r>
      <w:r w:rsidRPr="009D56EA">
        <w:rPr>
          <w:rFonts w:ascii="Alef" w:hAnsi="Alef" w:cs="Alef"/>
          <w:rtl/>
        </w:rPr>
        <w:t xml:space="preserve">קנדה, אוסטרליה, גרמניה </w:t>
      </w:r>
      <w:r w:rsidR="001C32FB">
        <w:rPr>
          <w:rFonts w:ascii="Alef" w:hAnsi="Alef" w:cs="Alef" w:hint="cs"/>
          <w:rtl/>
        </w:rPr>
        <w:t>ו</w:t>
      </w:r>
      <w:r w:rsidRPr="009D56EA">
        <w:rPr>
          <w:rFonts w:ascii="Alef" w:hAnsi="Alef" w:cs="Alef"/>
          <w:rtl/>
        </w:rPr>
        <w:t xml:space="preserve">דרום קוריאה. מבדיקה ראשונית, נראה </w:t>
      </w:r>
      <w:r w:rsidR="001C32FB">
        <w:rPr>
          <w:rFonts w:ascii="Alef" w:hAnsi="Alef" w:cs="Alef" w:hint="cs"/>
          <w:rtl/>
        </w:rPr>
        <w:t>שאין</w:t>
      </w:r>
      <w:r w:rsidRPr="009D56EA">
        <w:rPr>
          <w:rFonts w:ascii="Alef" w:hAnsi="Alef" w:cs="Alef"/>
          <w:rtl/>
        </w:rPr>
        <w:t xml:space="preserve"> במדינות אלה התייחסות או החרגה </w:t>
      </w:r>
      <w:r w:rsidR="007B6B93">
        <w:rPr>
          <w:rFonts w:ascii="Alef" w:hAnsi="Alef" w:cs="Alef" w:hint="cs"/>
          <w:rtl/>
        </w:rPr>
        <w:t>גורפת</w:t>
      </w:r>
      <w:r w:rsidR="007B6B93" w:rsidRPr="009D56EA">
        <w:rPr>
          <w:rFonts w:ascii="Alef" w:hAnsi="Alef" w:cs="Alef"/>
          <w:rtl/>
        </w:rPr>
        <w:t xml:space="preserve"> </w:t>
      </w:r>
      <w:r w:rsidRPr="009D56EA">
        <w:rPr>
          <w:rFonts w:ascii="Alef" w:hAnsi="Alef" w:cs="Alef"/>
          <w:rtl/>
        </w:rPr>
        <w:t xml:space="preserve">לרגולטורים פיננסיים. </w:t>
      </w:r>
    </w:p>
    <w:p w14:paraId="751AE10E" w14:textId="63B032E0" w:rsidR="009D56EA" w:rsidRPr="009D56EA" w:rsidRDefault="009D56EA" w:rsidP="00BE6FFC">
      <w:pPr>
        <w:spacing w:before="120"/>
        <w:rPr>
          <w:rFonts w:ascii="Alef" w:hAnsi="Alef" w:cs="Alef"/>
          <w:rtl/>
        </w:rPr>
      </w:pPr>
      <w:r w:rsidRPr="009D56EA">
        <w:rPr>
          <w:rFonts w:ascii="Alef" w:hAnsi="Alef" w:cs="Alef"/>
          <w:rtl/>
        </w:rPr>
        <w:t xml:space="preserve">גם בבריטניה וארה"ב, </w:t>
      </w:r>
      <w:r w:rsidR="00BE6FFC">
        <w:rPr>
          <w:rFonts w:ascii="Alef" w:hAnsi="Alef" w:cs="Alef" w:hint="cs"/>
          <w:rtl/>
        </w:rPr>
        <w:t>לא מדובר בהחרגה גורפת</w:t>
      </w:r>
      <w:r w:rsidR="007B6B93">
        <w:rPr>
          <w:rFonts w:ascii="Alef" w:hAnsi="Alef" w:cs="Alef" w:hint="cs"/>
          <w:rtl/>
        </w:rPr>
        <w:t xml:space="preserve"> וייחודית לרגולטורים הפיננסיים</w:t>
      </w:r>
      <w:r w:rsidRPr="009D56EA">
        <w:rPr>
          <w:rFonts w:ascii="Alef" w:hAnsi="Alef" w:cs="Alef"/>
          <w:rtl/>
        </w:rPr>
        <w:t>: בארה"ב, כל הרשויות העצמאיות (ולא רק הרגולטורים הפיננסיים) אינן כפופות ל-</w:t>
      </w:r>
      <w:r w:rsidRPr="009D56EA">
        <w:rPr>
          <w:rFonts w:ascii="Alef" w:hAnsi="Alef" w:cs="Alef"/>
        </w:rPr>
        <w:t>OIRA</w:t>
      </w:r>
      <w:r w:rsidRPr="009D56EA">
        <w:rPr>
          <w:rFonts w:ascii="Alef" w:hAnsi="Alef" w:cs="Alef"/>
          <w:rtl/>
        </w:rPr>
        <w:t>. עם זאת</w:t>
      </w:r>
      <w:r w:rsidR="007B6B93">
        <w:rPr>
          <w:rFonts w:ascii="Alef" w:hAnsi="Alef" w:cs="Alef" w:hint="cs"/>
          <w:rtl/>
        </w:rPr>
        <w:t xml:space="preserve"> הרשויות העצמאיות, לרבות</w:t>
      </w:r>
      <w:r w:rsidRPr="009D56EA">
        <w:rPr>
          <w:rFonts w:ascii="Alef" w:hAnsi="Alef" w:cs="Alef"/>
          <w:rtl/>
        </w:rPr>
        <w:t xml:space="preserve"> </w:t>
      </w:r>
      <w:r w:rsidR="007B6B93">
        <w:rPr>
          <w:rFonts w:ascii="Alef" w:hAnsi="Alef" w:cs="Alef" w:hint="cs"/>
          <w:rtl/>
        </w:rPr>
        <w:t>ה</w:t>
      </w:r>
      <w:r w:rsidRPr="009D56EA">
        <w:rPr>
          <w:rFonts w:ascii="Alef" w:hAnsi="Alef" w:cs="Alef"/>
          <w:rtl/>
        </w:rPr>
        <w:t xml:space="preserve">רגולטורים </w:t>
      </w:r>
      <w:r w:rsidR="007B6B93">
        <w:rPr>
          <w:rFonts w:ascii="Alef" w:hAnsi="Alef" w:cs="Alef" w:hint="cs"/>
          <w:rtl/>
        </w:rPr>
        <w:t>ה</w:t>
      </w:r>
      <w:r w:rsidRPr="009D56EA">
        <w:rPr>
          <w:rFonts w:ascii="Alef" w:hAnsi="Alef" w:cs="Alef"/>
          <w:rtl/>
        </w:rPr>
        <w:t>פיננסיים</w:t>
      </w:r>
      <w:r w:rsidR="007B6B93">
        <w:rPr>
          <w:rFonts w:ascii="Alef" w:hAnsi="Alef" w:cs="Alef" w:hint="cs"/>
          <w:rtl/>
        </w:rPr>
        <w:t>,</w:t>
      </w:r>
      <w:r w:rsidRPr="009D56EA">
        <w:rPr>
          <w:rFonts w:ascii="Alef" w:hAnsi="Alef" w:cs="Alef"/>
          <w:rtl/>
        </w:rPr>
        <w:t xml:space="preserve"> כפופ</w:t>
      </w:r>
      <w:r w:rsidR="007B6B93">
        <w:rPr>
          <w:rFonts w:ascii="Alef" w:hAnsi="Alef" w:cs="Alef" w:hint="cs"/>
          <w:rtl/>
        </w:rPr>
        <w:t>ות</w:t>
      </w:r>
      <w:r w:rsidRPr="009D56EA">
        <w:rPr>
          <w:rFonts w:ascii="Alef" w:hAnsi="Alef" w:cs="Alef"/>
          <w:rtl/>
        </w:rPr>
        <w:t xml:space="preserve"> לחוק </w:t>
      </w:r>
      <w:r w:rsidRPr="009D56EA">
        <w:rPr>
          <w:rFonts w:ascii="Alef" w:hAnsi="Alef" w:cs="Alef"/>
        </w:rPr>
        <w:t>CRA</w:t>
      </w:r>
      <w:r w:rsidRPr="009D56EA">
        <w:rPr>
          <w:rFonts w:ascii="Alef" w:hAnsi="Alef" w:cs="Alef"/>
          <w:rtl/>
        </w:rPr>
        <w:t xml:space="preserve"> המחייב דיווח לקונגרס בעת קביעת רגולציה, וברגולציות בעלות השפעה משמעותית ניתנת לקונגרס שהות להתערב. </w:t>
      </w:r>
    </w:p>
    <w:p w14:paraId="69215A50" w14:textId="4562EC7E" w:rsidR="00700944" w:rsidRPr="00EA63D2" w:rsidRDefault="009D56EA" w:rsidP="00EA63D2">
      <w:pPr>
        <w:spacing w:before="120"/>
        <w:rPr>
          <w:rFonts w:ascii="Alef" w:hAnsi="Alef" w:cs="Alef"/>
        </w:rPr>
      </w:pPr>
      <w:r w:rsidRPr="009D56EA">
        <w:rPr>
          <w:rFonts w:ascii="Alef" w:hAnsi="Alef" w:cs="Alef"/>
          <w:rtl/>
        </w:rPr>
        <w:t xml:space="preserve">בבריטניה (כפי שמצוין בדוח עצמו), </w:t>
      </w:r>
      <w:r w:rsidR="00BE6FFC">
        <w:rPr>
          <w:rFonts w:ascii="Alef" w:hAnsi="Alef" w:cs="Alef" w:hint="cs"/>
          <w:rtl/>
        </w:rPr>
        <w:t>ה</w:t>
      </w:r>
      <w:r w:rsidRPr="009D56EA">
        <w:rPr>
          <w:rFonts w:ascii="Alef" w:hAnsi="Alef" w:cs="Alef"/>
          <w:rtl/>
        </w:rPr>
        <w:t xml:space="preserve">רגולטור </w:t>
      </w:r>
      <w:r w:rsidR="00BE6FFC">
        <w:rPr>
          <w:rFonts w:ascii="Alef" w:hAnsi="Alef" w:cs="Alef" w:hint="cs"/>
          <w:rtl/>
        </w:rPr>
        <w:t>ה</w:t>
      </w:r>
      <w:r w:rsidRPr="009D56EA">
        <w:rPr>
          <w:rFonts w:ascii="Alef" w:hAnsi="Alef" w:cs="Alef"/>
          <w:rtl/>
        </w:rPr>
        <w:t xml:space="preserve">פיננסי </w:t>
      </w:r>
      <w:r w:rsidRPr="009D56EA">
        <w:rPr>
          <w:rFonts w:ascii="Alef" w:hAnsi="Alef" w:cs="Alef"/>
        </w:rPr>
        <w:t>FCA</w:t>
      </w:r>
      <w:r w:rsidRPr="009D56EA">
        <w:rPr>
          <w:rFonts w:ascii="Alef" w:hAnsi="Alef" w:cs="Alef"/>
          <w:rtl/>
        </w:rPr>
        <w:t xml:space="preserve"> </w:t>
      </w:r>
      <w:r w:rsidR="00BE6FFC">
        <w:rPr>
          <w:rFonts w:ascii="Alef" w:hAnsi="Alef" w:cs="Alef" w:hint="cs"/>
          <w:rtl/>
        </w:rPr>
        <w:t xml:space="preserve">(העוסק ביחסים בין המפוקחים לציבור) </w:t>
      </w:r>
      <w:r w:rsidRPr="009D56EA">
        <w:rPr>
          <w:rFonts w:ascii="Alef" w:hAnsi="Alef" w:cs="Alef"/>
          <w:rtl/>
        </w:rPr>
        <w:t>כפוף לבחינה של ה-</w:t>
      </w:r>
      <w:r w:rsidRPr="009D56EA">
        <w:rPr>
          <w:rFonts w:ascii="Alef" w:hAnsi="Alef" w:cs="Alef"/>
        </w:rPr>
        <w:t>ROB</w:t>
      </w:r>
      <w:r w:rsidR="00BE6FFC">
        <w:rPr>
          <w:rStyle w:val="FootnoteReference"/>
          <w:rFonts w:ascii="Alef" w:hAnsi="Alef" w:cs="Alef"/>
          <w:rtl/>
        </w:rPr>
        <w:footnoteReference w:id="12"/>
      </w:r>
      <w:r w:rsidR="00366319">
        <w:rPr>
          <w:rFonts w:ascii="Alef" w:hAnsi="Alef" w:cs="Alef" w:hint="cs"/>
          <w:rtl/>
        </w:rPr>
        <w:t>.</w:t>
      </w:r>
      <w:r w:rsidRPr="009D56EA">
        <w:rPr>
          <w:rFonts w:ascii="Alef" w:hAnsi="Alef" w:cs="Alef"/>
          <w:rtl/>
        </w:rPr>
        <w:t xml:space="preserve"> קיימת החרגה רק </w:t>
      </w:r>
      <w:r w:rsidR="00366319">
        <w:rPr>
          <w:rFonts w:ascii="Alef" w:hAnsi="Alef" w:cs="Alef" w:hint="cs"/>
          <w:rtl/>
        </w:rPr>
        <w:t>ל</w:t>
      </w:r>
      <w:r w:rsidR="00366319">
        <w:rPr>
          <w:rFonts w:ascii="Alef" w:hAnsi="Alef" w:cs="Alef"/>
          <w:rtl/>
        </w:rPr>
        <w:t xml:space="preserve">בנק המרכזי </w:t>
      </w:r>
      <w:r w:rsidR="00366319">
        <w:rPr>
          <w:rFonts w:ascii="Alef" w:hAnsi="Alef" w:cs="Alef" w:hint="cs"/>
          <w:rtl/>
        </w:rPr>
        <w:t>ו</w:t>
      </w:r>
      <w:r w:rsidR="00366319" w:rsidRPr="009D56EA">
        <w:rPr>
          <w:rFonts w:ascii="Alef" w:hAnsi="Alef" w:cs="Alef"/>
          <w:rtl/>
        </w:rPr>
        <w:t>ה</w:t>
      </w:r>
      <w:r w:rsidR="00BE6FFC">
        <w:rPr>
          <w:rFonts w:ascii="Alef" w:hAnsi="Alef" w:cs="Alef" w:hint="cs"/>
          <w:rtl/>
        </w:rPr>
        <w:t xml:space="preserve">רגולטור </w:t>
      </w:r>
      <w:r w:rsidR="00366319" w:rsidRPr="009D56EA">
        <w:rPr>
          <w:rFonts w:ascii="Alef" w:hAnsi="Alef" w:cs="Alef"/>
        </w:rPr>
        <w:t>PRA</w:t>
      </w:r>
      <w:r w:rsidR="00366319">
        <w:rPr>
          <w:rFonts w:ascii="Alef" w:hAnsi="Alef" w:cs="Alef" w:hint="cs"/>
          <w:rtl/>
        </w:rPr>
        <w:t xml:space="preserve"> (העוסק בפיקוח יציבותי), שגם עליו מוטלת</w:t>
      </w:r>
      <w:r w:rsidR="00366319" w:rsidRPr="00366319">
        <w:rPr>
          <w:rFonts w:ascii="Alef" w:hAnsi="Alef" w:cs="Alef"/>
          <w:rtl/>
        </w:rPr>
        <w:t xml:space="preserve"> </w:t>
      </w:r>
      <w:r w:rsidR="00BE6FFC">
        <w:rPr>
          <w:rFonts w:ascii="Alef" w:hAnsi="Alef" w:cs="Alef" w:hint="cs"/>
          <w:rtl/>
        </w:rPr>
        <w:t xml:space="preserve">החובה </w:t>
      </w:r>
      <w:r w:rsidR="00366319" w:rsidRPr="00366319">
        <w:rPr>
          <w:rFonts w:ascii="Alef" w:hAnsi="Alef" w:cs="Alef"/>
          <w:rtl/>
        </w:rPr>
        <w:t>להתחשב ב"עקרונות רגולטוריים" ולערוך ניתוח עלות-תועלת של רגולציה.</w:t>
      </w:r>
    </w:p>
    <w:p w14:paraId="0C32000E" w14:textId="77777777" w:rsidR="00000F5C" w:rsidRPr="00EA63D2" w:rsidRDefault="00000F5C" w:rsidP="00EA63D2">
      <w:pPr>
        <w:spacing w:before="120"/>
        <w:rPr>
          <w:rFonts w:ascii="Alef" w:hAnsi="Alef" w:cs="Alef"/>
        </w:rPr>
      </w:pPr>
      <w:r w:rsidRPr="00EA63D2">
        <w:rPr>
          <w:rFonts w:ascii="Alef" w:hAnsi="Alef" w:cs="Alef" w:hint="eastAsia"/>
          <w:rtl/>
        </w:rPr>
        <w:t>שיקולי</w:t>
      </w:r>
      <w:r w:rsidRPr="00EA63D2">
        <w:rPr>
          <w:rFonts w:ascii="Alef" w:hAnsi="Alef" w:cs="Alef"/>
          <w:rtl/>
        </w:rPr>
        <w:t xml:space="preserve"> </w:t>
      </w:r>
      <w:r w:rsidRPr="00EA63D2">
        <w:rPr>
          <w:rFonts w:ascii="Alef" w:hAnsi="Alef" w:cs="Alef" w:hint="eastAsia"/>
          <w:rtl/>
        </w:rPr>
        <w:t>עצמאות</w:t>
      </w:r>
      <w:r w:rsidRPr="00EA63D2">
        <w:rPr>
          <w:rFonts w:ascii="Alef" w:hAnsi="Alef" w:cs="Alef"/>
          <w:rtl/>
        </w:rPr>
        <w:t xml:space="preserve"> </w:t>
      </w:r>
      <w:r w:rsidRPr="00EA63D2">
        <w:rPr>
          <w:rFonts w:ascii="Alef" w:hAnsi="Alef" w:cs="Alef" w:hint="eastAsia"/>
          <w:rtl/>
        </w:rPr>
        <w:t>הרגולטור</w:t>
      </w:r>
      <w:r w:rsidRPr="00EA63D2">
        <w:rPr>
          <w:rFonts w:ascii="Alef" w:hAnsi="Alef" w:cs="Alef"/>
          <w:rtl/>
        </w:rPr>
        <w:t xml:space="preserve"> </w:t>
      </w:r>
      <w:r w:rsidRPr="00EA63D2">
        <w:rPr>
          <w:rFonts w:ascii="Alef" w:hAnsi="Alef" w:cs="Alef" w:hint="eastAsia"/>
          <w:rtl/>
        </w:rPr>
        <w:t>שהוזכרו</w:t>
      </w:r>
      <w:r w:rsidRPr="00EA63D2">
        <w:rPr>
          <w:rFonts w:ascii="Alef" w:hAnsi="Alef" w:cs="Alef"/>
          <w:rtl/>
        </w:rPr>
        <w:t xml:space="preserve"> </w:t>
      </w:r>
      <w:r w:rsidRPr="00EA63D2">
        <w:rPr>
          <w:rFonts w:ascii="Alef" w:hAnsi="Alef" w:cs="Alef" w:hint="eastAsia"/>
          <w:rtl/>
        </w:rPr>
        <w:t>בדו</w:t>
      </w:r>
      <w:r w:rsidRPr="00EA63D2">
        <w:rPr>
          <w:rFonts w:ascii="Alef" w:hAnsi="Alef" w:cs="Alef"/>
          <w:rtl/>
        </w:rPr>
        <w:t xml:space="preserve">"ח </w:t>
      </w:r>
      <w:r w:rsidRPr="00EA63D2">
        <w:rPr>
          <w:rFonts w:ascii="Alef" w:hAnsi="Alef" w:cs="Alef" w:hint="eastAsia"/>
          <w:rtl/>
        </w:rPr>
        <w:t>שפרסם</w:t>
      </w:r>
      <w:r w:rsidRPr="00EA63D2">
        <w:rPr>
          <w:rFonts w:ascii="Alef" w:hAnsi="Alef" w:cs="Alef"/>
          <w:rtl/>
        </w:rPr>
        <w:t xml:space="preserve"> </w:t>
      </w:r>
      <w:r w:rsidRPr="00EA63D2">
        <w:rPr>
          <w:rFonts w:ascii="Alef" w:hAnsi="Alef" w:cs="Alef" w:hint="eastAsia"/>
          <w:rtl/>
        </w:rPr>
        <w:t>הצוות</w:t>
      </w:r>
      <w:r w:rsidRPr="00EA63D2">
        <w:rPr>
          <w:rFonts w:ascii="Alef" w:hAnsi="Alef" w:cs="Alef"/>
          <w:rtl/>
        </w:rPr>
        <w:t xml:space="preserve"> </w:t>
      </w:r>
      <w:r w:rsidRPr="00EA63D2">
        <w:rPr>
          <w:rFonts w:ascii="Alef" w:hAnsi="Alef" w:cs="Alef" w:hint="eastAsia"/>
          <w:rtl/>
        </w:rPr>
        <w:t>הבין</w:t>
      </w:r>
      <w:r w:rsidRPr="00EA63D2">
        <w:rPr>
          <w:rFonts w:ascii="Alef" w:hAnsi="Alef" w:cs="Alef"/>
          <w:rtl/>
        </w:rPr>
        <w:t xml:space="preserve"> </w:t>
      </w:r>
      <w:r w:rsidRPr="00EA63D2">
        <w:rPr>
          <w:rFonts w:ascii="Alef" w:hAnsi="Alef" w:cs="Alef" w:hint="eastAsia"/>
          <w:rtl/>
        </w:rPr>
        <w:t>משרדי</w:t>
      </w:r>
      <w:r w:rsidRPr="00EA63D2">
        <w:rPr>
          <w:rFonts w:ascii="Alef" w:hAnsi="Alef" w:cs="Alef"/>
          <w:rtl/>
        </w:rPr>
        <w:t xml:space="preserve"> </w:t>
      </w:r>
      <w:r w:rsidRPr="00EA63D2">
        <w:rPr>
          <w:rFonts w:ascii="Alef" w:hAnsi="Alef" w:cs="Alef" w:hint="eastAsia"/>
          <w:rtl/>
        </w:rPr>
        <w:t>לרגולציה</w:t>
      </w:r>
      <w:r w:rsidRPr="00EA63D2">
        <w:rPr>
          <w:rFonts w:ascii="Alef" w:hAnsi="Alef" w:cs="Alef"/>
          <w:rtl/>
        </w:rPr>
        <w:t xml:space="preserve"> </w:t>
      </w:r>
      <w:r w:rsidRPr="00EA63D2">
        <w:rPr>
          <w:rFonts w:ascii="Alef" w:hAnsi="Alef" w:cs="Alef" w:hint="eastAsia"/>
          <w:rtl/>
        </w:rPr>
        <w:t>חכמה</w:t>
      </w:r>
      <w:r w:rsidRPr="00EA63D2">
        <w:rPr>
          <w:rFonts w:ascii="Alef" w:hAnsi="Alef" w:cs="Alef"/>
          <w:rtl/>
        </w:rPr>
        <w:t xml:space="preserve"> </w:t>
      </w:r>
      <w:r w:rsidRPr="00EA63D2">
        <w:rPr>
          <w:rFonts w:ascii="Alef" w:hAnsi="Alef" w:cs="Alef" w:hint="eastAsia"/>
          <w:rtl/>
        </w:rPr>
        <w:t>כשיקול</w:t>
      </w:r>
      <w:r w:rsidRPr="00EA63D2">
        <w:rPr>
          <w:rFonts w:ascii="Alef" w:hAnsi="Alef" w:cs="Alef"/>
          <w:rtl/>
        </w:rPr>
        <w:t xml:space="preserve"> המרכזי להחרגת הרגולטורים הפיננסיים, </w:t>
      </w:r>
      <w:r w:rsidRPr="00EA63D2">
        <w:rPr>
          <w:rFonts w:ascii="Alef" w:hAnsi="Alef" w:cs="Alef" w:hint="eastAsia"/>
          <w:rtl/>
        </w:rPr>
        <w:t>רחוקים</w:t>
      </w:r>
      <w:r w:rsidRPr="00EA63D2">
        <w:rPr>
          <w:rFonts w:ascii="Alef" w:hAnsi="Alef" w:cs="Alef"/>
          <w:rtl/>
        </w:rPr>
        <w:t xml:space="preserve"> </w:t>
      </w:r>
      <w:r w:rsidRPr="00EA63D2">
        <w:rPr>
          <w:rFonts w:ascii="Alef" w:hAnsi="Alef" w:cs="Alef" w:hint="eastAsia"/>
          <w:rtl/>
        </w:rPr>
        <w:t>מלהצדיק</w:t>
      </w:r>
      <w:r w:rsidRPr="00EA63D2">
        <w:rPr>
          <w:rFonts w:ascii="Alef" w:hAnsi="Alef" w:cs="Alef"/>
          <w:rtl/>
        </w:rPr>
        <w:t xml:space="preserve"> </w:t>
      </w:r>
      <w:r w:rsidRPr="00EA63D2">
        <w:rPr>
          <w:rFonts w:ascii="Alef" w:hAnsi="Alef" w:cs="Alef" w:hint="eastAsia"/>
          <w:rtl/>
        </w:rPr>
        <w:t>את</w:t>
      </w:r>
      <w:r w:rsidRPr="00EA63D2">
        <w:rPr>
          <w:rFonts w:ascii="Alef" w:hAnsi="Alef" w:cs="Alef"/>
          <w:rtl/>
        </w:rPr>
        <w:t xml:space="preserve"> </w:t>
      </w:r>
      <w:r w:rsidRPr="00EA63D2">
        <w:rPr>
          <w:rFonts w:ascii="Alef" w:hAnsi="Alef" w:cs="Alef" w:hint="eastAsia"/>
          <w:rtl/>
        </w:rPr>
        <w:t>ההחרגה</w:t>
      </w:r>
      <w:r w:rsidRPr="00EA63D2">
        <w:rPr>
          <w:rFonts w:ascii="Alef" w:hAnsi="Alef" w:cs="Alef"/>
          <w:rtl/>
        </w:rPr>
        <w:t xml:space="preserve"> </w:t>
      </w:r>
      <w:r w:rsidRPr="00EA63D2">
        <w:rPr>
          <w:rFonts w:ascii="Alef" w:hAnsi="Alef" w:cs="Alef" w:hint="eastAsia"/>
          <w:rtl/>
        </w:rPr>
        <w:t>הגורפת</w:t>
      </w:r>
      <w:r w:rsidRPr="00EA63D2">
        <w:rPr>
          <w:rFonts w:ascii="Alef" w:hAnsi="Alef" w:cs="Alef"/>
          <w:rtl/>
        </w:rPr>
        <w:t xml:space="preserve"> </w:t>
      </w:r>
      <w:r w:rsidRPr="00EA63D2">
        <w:rPr>
          <w:rFonts w:ascii="Alef" w:hAnsi="Alef" w:cs="Alef" w:hint="eastAsia"/>
          <w:rtl/>
        </w:rPr>
        <w:t>של</w:t>
      </w:r>
      <w:r w:rsidRPr="00EA63D2">
        <w:rPr>
          <w:rFonts w:ascii="Alef" w:hAnsi="Alef" w:cs="Alef"/>
          <w:rtl/>
        </w:rPr>
        <w:t xml:space="preserve"> </w:t>
      </w:r>
      <w:r w:rsidRPr="00EA63D2">
        <w:rPr>
          <w:rFonts w:ascii="Alef" w:hAnsi="Alef" w:cs="Alef" w:hint="eastAsia"/>
          <w:rtl/>
        </w:rPr>
        <w:t>הרגולטורים</w:t>
      </w:r>
      <w:r w:rsidRPr="00EA63D2">
        <w:rPr>
          <w:rFonts w:ascii="Alef" w:hAnsi="Alef" w:cs="Alef"/>
          <w:rtl/>
        </w:rPr>
        <w:t xml:space="preserve"> </w:t>
      </w:r>
      <w:r w:rsidRPr="00EA63D2">
        <w:rPr>
          <w:rFonts w:ascii="Alef" w:hAnsi="Alef" w:cs="Alef" w:hint="eastAsia"/>
          <w:rtl/>
        </w:rPr>
        <w:t>הפיננסיים</w:t>
      </w:r>
      <w:r w:rsidRPr="00EA63D2">
        <w:rPr>
          <w:rFonts w:ascii="Alef" w:hAnsi="Alef" w:cs="Alef"/>
          <w:rtl/>
        </w:rPr>
        <w:t xml:space="preserve"> </w:t>
      </w:r>
      <w:r w:rsidRPr="00EA63D2">
        <w:rPr>
          <w:rFonts w:ascii="Alef" w:hAnsi="Alef" w:cs="Alef" w:hint="eastAsia"/>
          <w:rtl/>
        </w:rPr>
        <w:t>מההוראות</w:t>
      </w:r>
      <w:r w:rsidRPr="00EA63D2">
        <w:rPr>
          <w:rFonts w:ascii="Alef" w:hAnsi="Alef" w:cs="Alef"/>
          <w:rtl/>
        </w:rPr>
        <w:t xml:space="preserve"> </w:t>
      </w:r>
      <w:r w:rsidRPr="00EA63D2">
        <w:rPr>
          <w:rFonts w:ascii="Alef" w:hAnsi="Alef" w:cs="Alef" w:hint="eastAsia"/>
          <w:rtl/>
        </w:rPr>
        <w:t>שיחולו</w:t>
      </w:r>
      <w:r w:rsidRPr="00EA63D2">
        <w:rPr>
          <w:rFonts w:ascii="Alef" w:hAnsi="Alef" w:cs="Alef"/>
          <w:rtl/>
        </w:rPr>
        <w:t xml:space="preserve"> </w:t>
      </w:r>
      <w:r w:rsidRPr="00EA63D2">
        <w:rPr>
          <w:rFonts w:ascii="Alef" w:hAnsi="Alef" w:cs="Alef" w:hint="eastAsia"/>
          <w:rtl/>
        </w:rPr>
        <w:t>על</w:t>
      </w:r>
      <w:r w:rsidRPr="00EA63D2">
        <w:rPr>
          <w:rFonts w:ascii="Alef" w:hAnsi="Alef" w:cs="Alef"/>
          <w:rtl/>
        </w:rPr>
        <w:t xml:space="preserve"> </w:t>
      </w:r>
      <w:r w:rsidRPr="00EA63D2">
        <w:rPr>
          <w:rFonts w:ascii="Alef" w:hAnsi="Alef" w:cs="Alef" w:hint="eastAsia"/>
          <w:rtl/>
        </w:rPr>
        <w:t>יתר</w:t>
      </w:r>
      <w:r w:rsidRPr="00EA63D2">
        <w:rPr>
          <w:rFonts w:ascii="Alef" w:hAnsi="Alef" w:cs="Alef"/>
          <w:rtl/>
        </w:rPr>
        <w:t xml:space="preserve"> </w:t>
      </w:r>
      <w:r w:rsidRPr="00EA63D2">
        <w:rPr>
          <w:rFonts w:ascii="Alef" w:hAnsi="Alef" w:cs="Alef" w:hint="eastAsia"/>
          <w:rtl/>
        </w:rPr>
        <w:t>הרגולטורים</w:t>
      </w:r>
      <w:r w:rsidRPr="00EA63D2">
        <w:rPr>
          <w:rFonts w:ascii="Alef" w:hAnsi="Alef" w:cs="Alef"/>
          <w:rtl/>
        </w:rPr>
        <w:t>.</w:t>
      </w:r>
    </w:p>
    <w:p w14:paraId="7538C78A" w14:textId="77777777" w:rsidR="00000F5C" w:rsidRPr="00EA63D2" w:rsidRDefault="00000F5C" w:rsidP="00EA63D2">
      <w:pPr>
        <w:spacing w:before="120"/>
        <w:rPr>
          <w:rFonts w:ascii="Alef" w:hAnsi="Alef" w:cs="Alef"/>
        </w:rPr>
      </w:pPr>
      <w:r w:rsidRPr="00EA63D2">
        <w:rPr>
          <w:rFonts w:ascii="Alef" w:hAnsi="Alef" w:cs="Alef" w:hint="eastAsia"/>
          <w:rtl/>
        </w:rPr>
        <w:t>על</w:t>
      </w:r>
      <w:r w:rsidRPr="00EA63D2">
        <w:rPr>
          <w:rFonts w:ascii="Alef" w:hAnsi="Alef" w:cs="Alef"/>
          <w:rtl/>
        </w:rPr>
        <w:t xml:space="preserve"> פי </w:t>
      </w:r>
      <w:r w:rsidRPr="00EA63D2">
        <w:rPr>
          <w:rFonts w:ascii="Alef" w:hAnsi="Alef" w:cs="Alef" w:hint="eastAsia"/>
          <w:rtl/>
        </w:rPr>
        <w:t>המצוין</w:t>
      </w:r>
      <w:r w:rsidRPr="00EA63D2">
        <w:rPr>
          <w:rFonts w:ascii="Alef" w:hAnsi="Alef" w:cs="Alef"/>
          <w:rtl/>
        </w:rPr>
        <w:t xml:space="preserve"> ב</w:t>
      </w:r>
      <w:r w:rsidRPr="00EA63D2">
        <w:rPr>
          <w:rFonts w:ascii="Alef" w:hAnsi="Alef" w:cs="Alef" w:hint="eastAsia"/>
          <w:rtl/>
        </w:rPr>
        <w:t>עמוד</w:t>
      </w:r>
      <w:r w:rsidRPr="00EA63D2">
        <w:rPr>
          <w:rFonts w:ascii="Alef" w:hAnsi="Alef" w:cs="Alef"/>
          <w:rtl/>
        </w:rPr>
        <w:t xml:space="preserve"> 100 לדו"ח, קיים חשש משמעותי מפני פגיעה בעצמאותם של גופים, כאשר "לעצמאות זו נודעת חשיבות רבה ברמה המהותית (הרחקתם משיקולים שאינם מקצועיים וכאלה הנובעים מאינטרסים כלכליים צרים) וברמה הבינלאומית (בשים לב לקשר שלהם עם מקביליהם בעולם ולמעמדם בעיני ארגונים בינלאומיים)".</w:t>
      </w:r>
    </w:p>
    <w:p w14:paraId="1E4BEAA7" w14:textId="77777777" w:rsidR="00000F5C" w:rsidRPr="00EA63D2" w:rsidRDefault="00000F5C" w:rsidP="00EA63D2">
      <w:pPr>
        <w:spacing w:before="120"/>
        <w:rPr>
          <w:rFonts w:ascii="Alef" w:hAnsi="Alef" w:cs="Alef"/>
        </w:rPr>
      </w:pPr>
      <w:r w:rsidRPr="00EA63D2">
        <w:rPr>
          <w:rFonts w:ascii="Alef" w:hAnsi="Alef" w:cs="Alef" w:hint="eastAsia"/>
          <w:rtl/>
        </w:rPr>
        <w:lastRenderedPageBreak/>
        <w:t>באשר</w:t>
      </w:r>
      <w:r w:rsidRPr="00EA63D2">
        <w:rPr>
          <w:rFonts w:ascii="Alef" w:hAnsi="Alef" w:cs="Alef"/>
          <w:rtl/>
        </w:rPr>
        <w:t xml:space="preserve"> </w:t>
      </w:r>
      <w:r w:rsidRPr="00EA63D2">
        <w:rPr>
          <w:rFonts w:ascii="Alef" w:hAnsi="Alef" w:cs="Alef" w:hint="eastAsia"/>
          <w:rtl/>
        </w:rPr>
        <w:t>לחיוב</w:t>
      </w:r>
      <w:r w:rsidRPr="00EA63D2">
        <w:rPr>
          <w:rFonts w:ascii="Alef" w:hAnsi="Alef" w:cs="Alef"/>
          <w:rtl/>
        </w:rPr>
        <w:t xml:space="preserve"> </w:t>
      </w:r>
      <w:r w:rsidRPr="00EA63D2">
        <w:rPr>
          <w:rFonts w:ascii="Alef" w:hAnsi="Alef" w:cs="Alef" w:hint="eastAsia"/>
          <w:rtl/>
        </w:rPr>
        <w:t>לשקול</w:t>
      </w:r>
      <w:r w:rsidRPr="00EA63D2">
        <w:rPr>
          <w:rFonts w:ascii="Alef" w:hAnsi="Alef" w:cs="Alef"/>
          <w:rtl/>
        </w:rPr>
        <w:t xml:space="preserve"> </w:t>
      </w:r>
      <w:r w:rsidRPr="00EA63D2">
        <w:rPr>
          <w:rFonts w:ascii="Alef" w:hAnsi="Alef" w:cs="Alef" w:hint="eastAsia"/>
          <w:rtl/>
        </w:rPr>
        <w:t>שיקולים</w:t>
      </w:r>
      <w:r w:rsidRPr="003F505A">
        <w:rPr>
          <w:rFonts w:hint="cs"/>
          <w:rtl/>
        </w:rPr>
        <w:t xml:space="preserve"> של</w:t>
      </w:r>
      <w:r w:rsidRPr="003F505A">
        <w:rPr>
          <w:rtl/>
        </w:rPr>
        <w:t xml:space="preserve"> </w:t>
      </w:r>
      <w:r w:rsidRPr="00EA63D2">
        <w:rPr>
          <w:rFonts w:ascii="Alef" w:hAnsi="Alef" w:cs="Alef"/>
          <w:rtl/>
        </w:rPr>
        <w:t xml:space="preserve">עלויות הציות </w:t>
      </w:r>
      <w:r w:rsidRPr="00EA63D2">
        <w:rPr>
          <w:rFonts w:ascii="Alef" w:hAnsi="Alef" w:cs="Alef" w:hint="eastAsia"/>
          <w:rtl/>
        </w:rPr>
        <w:t>ושל</w:t>
      </w:r>
      <w:r w:rsidRPr="00EA63D2">
        <w:rPr>
          <w:rFonts w:ascii="Alef" w:hAnsi="Alef" w:cs="Alef"/>
          <w:rtl/>
        </w:rPr>
        <w:t xml:space="preserve"> קידום תחרות ענפית, </w:t>
      </w:r>
      <w:r w:rsidRPr="00EA63D2">
        <w:rPr>
          <w:rFonts w:ascii="Alef" w:hAnsi="Alef" w:cs="Alef" w:hint="eastAsia"/>
          <w:rtl/>
        </w:rPr>
        <w:t>כאמור</w:t>
      </w:r>
      <w:r w:rsidRPr="00EA63D2">
        <w:rPr>
          <w:rFonts w:ascii="Alef" w:hAnsi="Alef" w:cs="Alef"/>
          <w:rtl/>
        </w:rPr>
        <w:t xml:space="preserve"> </w:t>
      </w:r>
      <w:r w:rsidRPr="00EA63D2">
        <w:rPr>
          <w:rFonts w:ascii="Alef" w:hAnsi="Alef" w:cs="Alef" w:hint="eastAsia"/>
          <w:rtl/>
        </w:rPr>
        <w:t>בסעיף</w:t>
      </w:r>
      <w:r w:rsidRPr="00EA63D2">
        <w:rPr>
          <w:rFonts w:ascii="Alef" w:hAnsi="Alef" w:cs="Alef"/>
          <w:rtl/>
        </w:rPr>
        <w:t xml:space="preserve"> 2א(4) </w:t>
      </w:r>
      <w:r w:rsidRPr="00EA63D2">
        <w:rPr>
          <w:rFonts w:ascii="Alef" w:hAnsi="Alef" w:cs="Alef" w:hint="eastAsia"/>
          <w:rtl/>
        </w:rPr>
        <w:t>להחלטה</w:t>
      </w:r>
      <w:r w:rsidRPr="00EA63D2">
        <w:rPr>
          <w:rFonts w:ascii="Alef" w:hAnsi="Alef" w:cs="Alef"/>
          <w:rtl/>
        </w:rPr>
        <w:t xml:space="preserve">, </w:t>
      </w:r>
      <w:r w:rsidRPr="00EA63D2">
        <w:rPr>
          <w:rFonts w:ascii="Alef" w:hAnsi="Alef" w:cs="Alef" w:hint="eastAsia"/>
          <w:rtl/>
        </w:rPr>
        <w:t>הרי</w:t>
      </w:r>
      <w:r w:rsidRPr="00EA63D2">
        <w:rPr>
          <w:rFonts w:ascii="Alef" w:hAnsi="Alef" w:cs="Alef"/>
          <w:rtl/>
        </w:rPr>
        <w:t xml:space="preserve"> </w:t>
      </w:r>
      <w:r w:rsidRPr="00EA63D2">
        <w:rPr>
          <w:rFonts w:ascii="Alef" w:hAnsi="Alef" w:cs="Alef" w:hint="eastAsia"/>
          <w:rtl/>
        </w:rPr>
        <w:t>שחיוב</w:t>
      </w:r>
      <w:r w:rsidRPr="00EA63D2">
        <w:rPr>
          <w:rFonts w:ascii="Alef" w:hAnsi="Alef" w:cs="Alef"/>
          <w:rtl/>
        </w:rPr>
        <w:t xml:space="preserve"> </w:t>
      </w:r>
      <w:r w:rsidRPr="00EA63D2">
        <w:rPr>
          <w:rFonts w:ascii="Alef" w:hAnsi="Alef" w:cs="Alef" w:hint="eastAsia"/>
          <w:rtl/>
        </w:rPr>
        <w:t>זה</w:t>
      </w:r>
      <w:r w:rsidRPr="00EA63D2">
        <w:rPr>
          <w:rFonts w:ascii="Alef" w:hAnsi="Alef" w:cs="Alef"/>
          <w:rtl/>
        </w:rPr>
        <w:t xml:space="preserve"> </w:t>
      </w:r>
      <w:r w:rsidRPr="00EA63D2">
        <w:rPr>
          <w:rFonts w:ascii="Alef" w:hAnsi="Alef" w:cs="Alef" w:hint="eastAsia"/>
          <w:rtl/>
        </w:rPr>
        <w:t>אינו</w:t>
      </w:r>
      <w:r w:rsidRPr="00EA63D2">
        <w:rPr>
          <w:rFonts w:ascii="Alef" w:hAnsi="Alef" w:cs="Alef"/>
          <w:rtl/>
        </w:rPr>
        <w:t xml:space="preserve"> </w:t>
      </w:r>
      <w:r w:rsidRPr="00EA63D2">
        <w:rPr>
          <w:rFonts w:ascii="Alef" w:hAnsi="Alef" w:cs="Alef" w:hint="eastAsia"/>
          <w:rtl/>
        </w:rPr>
        <w:t>פוגע</w:t>
      </w:r>
      <w:r w:rsidRPr="00EA63D2">
        <w:rPr>
          <w:rFonts w:ascii="Alef" w:hAnsi="Alef" w:cs="Alef"/>
          <w:rtl/>
        </w:rPr>
        <w:t xml:space="preserve"> </w:t>
      </w:r>
      <w:r w:rsidRPr="00EA63D2">
        <w:rPr>
          <w:rFonts w:ascii="Alef" w:hAnsi="Alef" w:cs="Alef" w:hint="eastAsia"/>
          <w:rtl/>
        </w:rPr>
        <w:t>כהוא</w:t>
      </w:r>
      <w:r w:rsidRPr="00EA63D2">
        <w:rPr>
          <w:rFonts w:ascii="Alef" w:hAnsi="Alef" w:cs="Alef"/>
          <w:rtl/>
        </w:rPr>
        <w:t xml:space="preserve"> </w:t>
      </w:r>
      <w:r w:rsidRPr="00EA63D2">
        <w:rPr>
          <w:rFonts w:ascii="Alef" w:hAnsi="Alef" w:cs="Alef" w:hint="eastAsia"/>
          <w:rtl/>
        </w:rPr>
        <w:t>זה</w:t>
      </w:r>
      <w:r w:rsidRPr="00EA63D2">
        <w:rPr>
          <w:rFonts w:ascii="Alef" w:hAnsi="Alef" w:cs="Alef"/>
          <w:rtl/>
        </w:rPr>
        <w:t xml:space="preserve"> </w:t>
      </w:r>
      <w:r w:rsidRPr="00EA63D2">
        <w:rPr>
          <w:rFonts w:ascii="Alef" w:hAnsi="Alef" w:cs="Alef" w:hint="eastAsia"/>
          <w:rtl/>
        </w:rPr>
        <w:t>בעצמאות</w:t>
      </w:r>
      <w:r w:rsidRPr="00EA63D2">
        <w:rPr>
          <w:rFonts w:ascii="Alef" w:hAnsi="Alef" w:cs="Alef"/>
          <w:rtl/>
        </w:rPr>
        <w:t xml:space="preserve"> </w:t>
      </w:r>
      <w:r w:rsidRPr="00EA63D2">
        <w:rPr>
          <w:rFonts w:ascii="Alef" w:hAnsi="Alef" w:cs="Alef" w:hint="eastAsia"/>
          <w:rtl/>
        </w:rPr>
        <w:t>הרגולטורים</w:t>
      </w:r>
      <w:r w:rsidRPr="00EA63D2">
        <w:rPr>
          <w:rFonts w:ascii="Alef" w:hAnsi="Alef" w:cs="Alef"/>
          <w:rtl/>
        </w:rPr>
        <w:t>. כל מה שסעיף זה קובע הוא את הע</w:t>
      </w:r>
      <w:r w:rsidRPr="00EA63D2">
        <w:rPr>
          <w:rFonts w:ascii="Alef" w:hAnsi="Alef" w:cs="Alef" w:hint="eastAsia"/>
          <w:rtl/>
        </w:rPr>
        <w:t>יקרון</w:t>
      </w:r>
      <w:r w:rsidRPr="00EA63D2">
        <w:rPr>
          <w:rFonts w:ascii="Alef" w:hAnsi="Alef" w:cs="Alef"/>
          <w:rtl/>
        </w:rPr>
        <w:t xml:space="preserve"> </w:t>
      </w:r>
      <w:r w:rsidRPr="00EA63D2">
        <w:rPr>
          <w:rFonts w:ascii="Alef" w:hAnsi="Alef" w:cs="Alef" w:hint="eastAsia"/>
          <w:rtl/>
        </w:rPr>
        <w:t>שצריך</w:t>
      </w:r>
      <w:r w:rsidRPr="00EA63D2">
        <w:rPr>
          <w:rFonts w:ascii="Alef" w:hAnsi="Alef" w:cs="Alef"/>
          <w:rtl/>
        </w:rPr>
        <w:t xml:space="preserve"> </w:t>
      </w:r>
      <w:r w:rsidRPr="00EA63D2">
        <w:rPr>
          <w:rFonts w:ascii="Alef" w:hAnsi="Alef" w:cs="Alef" w:hint="eastAsia"/>
          <w:rtl/>
        </w:rPr>
        <w:t>להיות</w:t>
      </w:r>
      <w:r w:rsidRPr="00EA63D2">
        <w:rPr>
          <w:rFonts w:ascii="Alef" w:hAnsi="Alef" w:cs="Alef"/>
          <w:rtl/>
        </w:rPr>
        <w:t xml:space="preserve"> </w:t>
      </w:r>
      <w:r w:rsidRPr="00EA63D2">
        <w:rPr>
          <w:rFonts w:ascii="Alef" w:hAnsi="Alef" w:cs="Alef" w:hint="eastAsia"/>
          <w:rtl/>
        </w:rPr>
        <w:t>ברור</w:t>
      </w:r>
      <w:r w:rsidRPr="00EA63D2">
        <w:rPr>
          <w:rFonts w:ascii="Alef" w:hAnsi="Alef" w:cs="Alef"/>
          <w:rtl/>
        </w:rPr>
        <w:t xml:space="preserve"> </w:t>
      </w:r>
      <w:r w:rsidRPr="00EA63D2">
        <w:rPr>
          <w:rFonts w:ascii="Alef" w:hAnsi="Alef" w:cs="Alef" w:hint="eastAsia"/>
          <w:rtl/>
        </w:rPr>
        <w:t>מאליו</w:t>
      </w:r>
      <w:r w:rsidRPr="00EA63D2">
        <w:rPr>
          <w:rFonts w:ascii="Alef" w:hAnsi="Alef" w:cs="Alef"/>
          <w:rtl/>
        </w:rPr>
        <w:t xml:space="preserve">, לפיו על </w:t>
      </w:r>
      <w:r w:rsidRPr="00EA63D2">
        <w:rPr>
          <w:rFonts w:ascii="Alef" w:hAnsi="Alef" w:cs="Alef" w:hint="eastAsia"/>
          <w:rtl/>
        </w:rPr>
        <w:t>הרגולטור</w:t>
      </w:r>
      <w:r w:rsidRPr="00EA63D2">
        <w:rPr>
          <w:rFonts w:ascii="Alef" w:hAnsi="Alef" w:cs="Alef"/>
          <w:rtl/>
        </w:rPr>
        <w:t xml:space="preserve"> </w:t>
      </w:r>
      <w:r w:rsidRPr="00EA63D2">
        <w:rPr>
          <w:rFonts w:ascii="Alef" w:hAnsi="Alef" w:cs="Alef" w:hint="eastAsia"/>
          <w:b/>
          <w:bCs/>
          <w:rtl/>
        </w:rPr>
        <w:t>לקחת</w:t>
      </w:r>
      <w:r w:rsidRPr="00EA63D2">
        <w:rPr>
          <w:rFonts w:ascii="Alef" w:hAnsi="Alef" w:cs="Alef"/>
          <w:b/>
          <w:bCs/>
          <w:rtl/>
        </w:rPr>
        <w:t xml:space="preserve"> בחשבון</w:t>
      </w:r>
      <w:r w:rsidRPr="00EA63D2">
        <w:rPr>
          <w:rFonts w:ascii="Alef" w:hAnsi="Alef" w:cs="Alef"/>
          <w:rtl/>
        </w:rPr>
        <w:t xml:space="preserve"> </w:t>
      </w:r>
      <w:r w:rsidRPr="00EA63D2">
        <w:rPr>
          <w:rFonts w:ascii="Alef" w:hAnsi="Alef" w:cs="Alef" w:hint="eastAsia"/>
          <w:rtl/>
        </w:rPr>
        <w:t>גם</w:t>
      </w:r>
      <w:r w:rsidRPr="00EA63D2">
        <w:rPr>
          <w:rFonts w:ascii="Alef" w:hAnsi="Alef" w:cs="Alef"/>
          <w:rtl/>
        </w:rPr>
        <w:t xml:space="preserve"> </w:t>
      </w:r>
      <w:r w:rsidRPr="00EA63D2">
        <w:rPr>
          <w:rFonts w:ascii="Alef" w:hAnsi="Alef" w:cs="Alef" w:hint="eastAsia"/>
          <w:rtl/>
        </w:rPr>
        <w:t>את</w:t>
      </w:r>
      <w:r w:rsidRPr="00EA63D2">
        <w:rPr>
          <w:rFonts w:ascii="Alef" w:hAnsi="Alef" w:cs="Alef"/>
          <w:rtl/>
        </w:rPr>
        <w:t xml:space="preserve"> </w:t>
      </w:r>
      <w:r w:rsidRPr="00EA63D2">
        <w:rPr>
          <w:rFonts w:ascii="Alef" w:hAnsi="Alef" w:cs="Alef" w:hint="eastAsia"/>
          <w:rtl/>
        </w:rPr>
        <w:t>השפעות</w:t>
      </w:r>
      <w:r w:rsidRPr="00EA63D2">
        <w:rPr>
          <w:rFonts w:ascii="Alef" w:hAnsi="Alef" w:cs="Alef"/>
          <w:rtl/>
        </w:rPr>
        <w:t xml:space="preserve"> </w:t>
      </w:r>
      <w:r w:rsidRPr="00EA63D2">
        <w:rPr>
          <w:rFonts w:ascii="Alef" w:hAnsi="Alef" w:cs="Alef" w:hint="eastAsia"/>
          <w:rtl/>
        </w:rPr>
        <w:t>הרגולציה</w:t>
      </w:r>
      <w:r w:rsidRPr="00EA63D2">
        <w:rPr>
          <w:rFonts w:ascii="Alef" w:hAnsi="Alef" w:cs="Alef"/>
          <w:rtl/>
        </w:rPr>
        <w:t xml:space="preserve">. </w:t>
      </w:r>
      <w:r w:rsidRPr="00EA63D2">
        <w:rPr>
          <w:rFonts w:ascii="Alef" w:hAnsi="Alef" w:cs="Alef" w:hint="eastAsia"/>
          <w:rtl/>
        </w:rPr>
        <w:t>חידוד</w:t>
      </w:r>
      <w:r w:rsidRPr="00EA63D2">
        <w:rPr>
          <w:rFonts w:ascii="Alef" w:hAnsi="Alef" w:cs="Alef"/>
          <w:rtl/>
        </w:rPr>
        <w:t xml:space="preserve"> </w:t>
      </w:r>
      <w:r w:rsidRPr="00EA63D2">
        <w:rPr>
          <w:rFonts w:ascii="Alef" w:hAnsi="Alef" w:cs="Alef" w:hint="eastAsia"/>
          <w:rtl/>
        </w:rPr>
        <w:t>עקרון</w:t>
      </w:r>
      <w:r w:rsidRPr="00EA63D2">
        <w:rPr>
          <w:rFonts w:ascii="Alef" w:hAnsi="Alef" w:cs="Alef"/>
          <w:rtl/>
        </w:rPr>
        <w:t xml:space="preserve"> </w:t>
      </w:r>
      <w:r w:rsidRPr="00EA63D2">
        <w:rPr>
          <w:rFonts w:ascii="Alef" w:hAnsi="Alef" w:cs="Alef" w:hint="eastAsia"/>
          <w:rtl/>
        </w:rPr>
        <w:t>זה</w:t>
      </w:r>
      <w:r w:rsidRPr="00EA63D2">
        <w:rPr>
          <w:rFonts w:ascii="Alef" w:hAnsi="Alef" w:cs="Alef"/>
          <w:rtl/>
        </w:rPr>
        <w:t xml:space="preserve"> </w:t>
      </w:r>
      <w:r w:rsidRPr="00EA63D2">
        <w:rPr>
          <w:rFonts w:ascii="Alef" w:hAnsi="Alef" w:cs="Alef" w:hint="eastAsia"/>
          <w:rtl/>
        </w:rPr>
        <w:t>אך</w:t>
      </w:r>
      <w:r w:rsidRPr="00EA63D2">
        <w:rPr>
          <w:rFonts w:ascii="Alef" w:hAnsi="Alef" w:cs="Alef"/>
          <w:rtl/>
        </w:rPr>
        <w:t xml:space="preserve"> </w:t>
      </w:r>
      <w:r w:rsidRPr="00EA63D2">
        <w:rPr>
          <w:rFonts w:ascii="Alef" w:hAnsi="Alef" w:cs="Alef" w:hint="eastAsia"/>
          <w:rtl/>
        </w:rPr>
        <w:t>מתבקש</w:t>
      </w:r>
      <w:r w:rsidRPr="00EA63D2">
        <w:rPr>
          <w:rFonts w:ascii="Alef" w:hAnsi="Alef" w:cs="Alef"/>
          <w:rtl/>
        </w:rPr>
        <w:t xml:space="preserve"> </w:t>
      </w:r>
      <w:r w:rsidRPr="00EA63D2">
        <w:rPr>
          <w:rFonts w:ascii="Alef" w:hAnsi="Alef" w:cs="Alef" w:hint="eastAsia"/>
          <w:rtl/>
        </w:rPr>
        <w:t>לנוכח</w:t>
      </w:r>
      <w:r w:rsidRPr="00EA63D2">
        <w:rPr>
          <w:rFonts w:ascii="Alef" w:hAnsi="Alef" w:cs="Alef"/>
          <w:rtl/>
        </w:rPr>
        <w:t xml:space="preserve"> </w:t>
      </w:r>
      <w:proofErr w:type="spellStart"/>
      <w:r w:rsidRPr="00EA63D2">
        <w:rPr>
          <w:rFonts w:ascii="Alef" w:hAnsi="Alef" w:cs="Alef" w:hint="eastAsia"/>
          <w:rtl/>
        </w:rPr>
        <w:t>אופיה</w:t>
      </w:r>
      <w:proofErr w:type="spellEnd"/>
      <w:r w:rsidRPr="00EA63D2">
        <w:rPr>
          <w:rFonts w:ascii="Alef" w:hAnsi="Alef" w:cs="Alef"/>
          <w:rtl/>
        </w:rPr>
        <w:t xml:space="preserve"> </w:t>
      </w:r>
      <w:r w:rsidRPr="00EA63D2">
        <w:rPr>
          <w:rFonts w:ascii="Alef" w:hAnsi="Alef" w:cs="Alef" w:hint="eastAsia"/>
          <w:rtl/>
        </w:rPr>
        <w:t>הלא</w:t>
      </w:r>
      <w:r w:rsidRPr="00EA63D2">
        <w:rPr>
          <w:rFonts w:ascii="Alef" w:hAnsi="Alef" w:cs="Alef"/>
          <w:rtl/>
        </w:rPr>
        <w:t xml:space="preserve"> </w:t>
      </w:r>
      <w:r w:rsidRPr="00EA63D2">
        <w:rPr>
          <w:rFonts w:ascii="Alef" w:hAnsi="Alef" w:cs="Alef" w:hint="eastAsia"/>
          <w:rtl/>
        </w:rPr>
        <w:t>תחרותי</w:t>
      </w:r>
      <w:r w:rsidRPr="00EA63D2">
        <w:rPr>
          <w:rFonts w:ascii="Alef" w:hAnsi="Alef" w:cs="Alef"/>
          <w:rtl/>
        </w:rPr>
        <w:t xml:space="preserve"> </w:t>
      </w:r>
      <w:r w:rsidRPr="00EA63D2">
        <w:rPr>
          <w:rFonts w:ascii="Alef" w:hAnsi="Alef" w:cs="Alef" w:hint="eastAsia"/>
          <w:rtl/>
        </w:rPr>
        <w:t>של</w:t>
      </w:r>
      <w:r w:rsidRPr="00EA63D2">
        <w:rPr>
          <w:rFonts w:ascii="Alef" w:hAnsi="Alef" w:cs="Alef"/>
          <w:rtl/>
        </w:rPr>
        <w:t xml:space="preserve"> </w:t>
      </w:r>
      <w:r w:rsidRPr="00EA63D2">
        <w:rPr>
          <w:rFonts w:ascii="Alef" w:hAnsi="Alef" w:cs="Alef" w:hint="eastAsia"/>
          <w:rtl/>
        </w:rPr>
        <w:t>המערכת</w:t>
      </w:r>
      <w:r w:rsidRPr="00EA63D2">
        <w:rPr>
          <w:rFonts w:ascii="Alef" w:hAnsi="Alef" w:cs="Alef"/>
          <w:rtl/>
        </w:rPr>
        <w:t xml:space="preserve"> הפיננסית בישראל </w:t>
      </w:r>
      <w:r w:rsidRPr="00EA63D2">
        <w:rPr>
          <w:rFonts w:ascii="Alef" w:hAnsi="Alef" w:cs="Alef" w:hint="eastAsia"/>
          <w:rtl/>
        </w:rPr>
        <w:t>וההבדלים</w:t>
      </w:r>
      <w:r w:rsidRPr="00EA63D2">
        <w:rPr>
          <w:rFonts w:ascii="Alef" w:hAnsi="Alef" w:cs="Alef"/>
          <w:rtl/>
        </w:rPr>
        <w:t xml:space="preserve"> </w:t>
      </w:r>
      <w:r w:rsidRPr="00EA63D2">
        <w:rPr>
          <w:rFonts w:ascii="Alef" w:hAnsi="Alef" w:cs="Alef" w:hint="eastAsia"/>
          <w:rtl/>
        </w:rPr>
        <w:t>הגדולים</w:t>
      </w:r>
      <w:r w:rsidRPr="00EA63D2">
        <w:rPr>
          <w:rFonts w:ascii="Alef" w:hAnsi="Alef" w:cs="Alef"/>
          <w:rtl/>
        </w:rPr>
        <w:t xml:space="preserve"> </w:t>
      </w:r>
      <w:r w:rsidRPr="00EA63D2">
        <w:rPr>
          <w:rFonts w:ascii="Alef" w:hAnsi="Alef" w:cs="Alef" w:hint="eastAsia"/>
          <w:rtl/>
        </w:rPr>
        <w:t>בין</w:t>
      </w:r>
      <w:r w:rsidRPr="00EA63D2">
        <w:rPr>
          <w:rFonts w:ascii="Alef" w:hAnsi="Alef" w:cs="Alef"/>
          <w:rtl/>
        </w:rPr>
        <w:t xml:space="preserve"> </w:t>
      </w:r>
      <w:r w:rsidRPr="00EA63D2">
        <w:rPr>
          <w:rFonts w:ascii="Alef" w:hAnsi="Alef" w:cs="Alef" w:hint="eastAsia"/>
          <w:rtl/>
        </w:rPr>
        <w:t>הרגולציה</w:t>
      </w:r>
      <w:r w:rsidRPr="00EA63D2">
        <w:rPr>
          <w:rFonts w:ascii="Alef" w:hAnsi="Alef" w:cs="Alef"/>
          <w:rtl/>
        </w:rPr>
        <w:t xml:space="preserve"> </w:t>
      </w:r>
      <w:r w:rsidRPr="00EA63D2">
        <w:rPr>
          <w:rFonts w:ascii="Alef" w:hAnsi="Alef" w:cs="Alef" w:hint="eastAsia"/>
          <w:rtl/>
        </w:rPr>
        <w:t>הפיננסית</w:t>
      </w:r>
      <w:r w:rsidRPr="00EA63D2">
        <w:rPr>
          <w:rFonts w:ascii="Alef" w:hAnsi="Alef" w:cs="Alef"/>
          <w:rtl/>
        </w:rPr>
        <w:t xml:space="preserve"> </w:t>
      </w:r>
      <w:r w:rsidRPr="00EA63D2">
        <w:rPr>
          <w:rFonts w:ascii="Alef" w:hAnsi="Alef" w:cs="Alef" w:hint="eastAsia"/>
          <w:rtl/>
        </w:rPr>
        <w:t>בישראל</w:t>
      </w:r>
      <w:r w:rsidRPr="00EA63D2">
        <w:rPr>
          <w:rFonts w:ascii="Alef" w:hAnsi="Alef" w:cs="Alef"/>
          <w:rtl/>
        </w:rPr>
        <w:t xml:space="preserve"> לבין הרגולציה המקובלת </w:t>
      </w:r>
      <w:r w:rsidRPr="00EA63D2">
        <w:rPr>
          <w:rFonts w:ascii="Alef" w:hAnsi="Alef" w:cs="Alef" w:hint="eastAsia"/>
          <w:rtl/>
        </w:rPr>
        <w:t>בתחומים</w:t>
      </w:r>
      <w:r w:rsidRPr="00EA63D2">
        <w:rPr>
          <w:rFonts w:ascii="Alef" w:hAnsi="Alef" w:cs="Alef"/>
          <w:rtl/>
        </w:rPr>
        <w:t xml:space="preserve"> אלו </w:t>
      </w:r>
      <w:r w:rsidRPr="00EA63D2">
        <w:rPr>
          <w:rFonts w:ascii="Alef" w:hAnsi="Alef" w:cs="Alef" w:hint="eastAsia"/>
          <w:rtl/>
        </w:rPr>
        <w:t>בעולם</w:t>
      </w:r>
      <w:r w:rsidRPr="00EA63D2">
        <w:rPr>
          <w:rFonts w:ascii="Alef" w:hAnsi="Alef" w:cs="Alef"/>
          <w:rtl/>
        </w:rPr>
        <w:t>.</w:t>
      </w:r>
    </w:p>
    <w:p w14:paraId="6175C356" w14:textId="77777777" w:rsidR="00000F5C" w:rsidRPr="00EA63D2" w:rsidRDefault="00000F5C" w:rsidP="00EA63D2">
      <w:pPr>
        <w:spacing w:before="120"/>
        <w:rPr>
          <w:rFonts w:ascii="Alef" w:hAnsi="Alef" w:cs="Alef"/>
        </w:rPr>
      </w:pPr>
      <w:r w:rsidRPr="00EA63D2">
        <w:rPr>
          <w:rFonts w:ascii="Alef" w:hAnsi="Alef" w:cs="Alef" w:hint="eastAsia"/>
          <w:rtl/>
        </w:rPr>
        <w:t>הדברים</w:t>
      </w:r>
      <w:r w:rsidRPr="00EA63D2">
        <w:rPr>
          <w:rFonts w:ascii="Alef" w:hAnsi="Alef" w:cs="Alef"/>
          <w:rtl/>
        </w:rPr>
        <w:t xml:space="preserve"> נכונים וודאי גם </w:t>
      </w:r>
      <w:r w:rsidRPr="00EA63D2">
        <w:rPr>
          <w:rFonts w:ascii="Alef" w:hAnsi="Alef" w:cs="Alef" w:hint="eastAsia"/>
          <w:rtl/>
        </w:rPr>
        <w:t>להצעותינו</w:t>
      </w:r>
      <w:r w:rsidRPr="00EA63D2">
        <w:rPr>
          <w:rFonts w:ascii="Alef" w:hAnsi="Alef" w:cs="Alef"/>
          <w:rtl/>
        </w:rPr>
        <w:t xml:space="preserve"> לעיל לקבוע כעקרונות מנחים כי הרגולציה תהיה מוכוונת תוצאה ולא תהליך וכי יש להעדיף רגולציה שבה הפיקוח נעשה בדיעבד ולא מראש. </w:t>
      </w:r>
      <w:r w:rsidRPr="00EA63D2">
        <w:rPr>
          <w:rFonts w:ascii="Alef" w:hAnsi="Alef" w:cs="Alef" w:hint="eastAsia"/>
          <w:rtl/>
        </w:rPr>
        <w:t>וודאי</w:t>
      </w:r>
      <w:r w:rsidRPr="00EA63D2">
        <w:rPr>
          <w:rFonts w:ascii="Alef" w:hAnsi="Alef" w:cs="Alef"/>
          <w:rtl/>
        </w:rPr>
        <w:t xml:space="preserve"> </w:t>
      </w:r>
      <w:r w:rsidRPr="00EA63D2">
        <w:rPr>
          <w:rFonts w:ascii="Alef" w:hAnsi="Alef" w:cs="Alef" w:hint="eastAsia"/>
          <w:rtl/>
        </w:rPr>
        <w:t>שאין</w:t>
      </w:r>
      <w:r w:rsidRPr="00EA63D2">
        <w:rPr>
          <w:rFonts w:ascii="Alef" w:hAnsi="Alef" w:cs="Alef"/>
          <w:rtl/>
        </w:rPr>
        <w:t xml:space="preserve"> </w:t>
      </w:r>
      <w:r w:rsidRPr="00EA63D2">
        <w:rPr>
          <w:rFonts w:ascii="Alef" w:hAnsi="Alef" w:cs="Alef" w:hint="eastAsia"/>
          <w:rtl/>
        </w:rPr>
        <w:t>כל</w:t>
      </w:r>
      <w:r w:rsidRPr="00EA63D2">
        <w:rPr>
          <w:rFonts w:ascii="Alef" w:hAnsi="Alef" w:cs="Alef"/>
          <w:rtl/>
        </w:rPr>
        <w:t xml:space="preserve"> </w:t>
      </w:r>
      <w:r w:rsidRPr="00EA63D2">
        <w:rPr>
          <w:rFonts w:ascii="Alef" w:hAnsi="Alef" w:cs="Alef" w:hint="eastAsia"/>
          <w:rtl/>
        </w:rPr>
        <w:t>סיבה</w:t>
      </w:r>
      <w:r w:rsidRPr="00EA63D2">
        <w:rPr>
          <w:rFonts w:ascii="Alef" w:hAnsi="Alef" w:cs="Alef"/>
          <w:rtl/>
        </w:rPr>
        <w:t xml:space="preserve"> </w:t>
      </w:r>
      <w:proofErr w:type="spellStart"/>
      <w:r w:rsidRPr="00EA63D2">
        <w:rPr>
          <w:rFonts w:ascii="Alef" w:hAnsi="Alef" w:cs="Alef" w:hint="eastAsia"/>
          <w:rtl/>
        </w:rPr>
        <w:t>להחריג</w:t>
      </w:r>
      <w:proofErr w:type="spellEnd"/>
      <w:r w:rsidRPr="00EA63D2">
        <w:rPr>
          <w:rFonts w:ascii="Alef" w:hAnsi="Alef" w:cs="Alef"/>
          <w:rtl/>
        </w:rPr>
        <w:t xml:space="preserve"> </w:t>
      </w:r>
      <w:r w:rsidRPr="00EA63D2">
        <w:rPr>
          <w:rFonts w:ascii="Alef" w:hAnsi="Alef" w:cs="Alef" w:hint="eastAsia"/>
          <w:rtl/>
        </w:rPr>
        <w:t>רגולטורים</w:t>
      </w:r>
      <w:r w:rsidRPr="00EA63D2">
        <w:rPr>
          <w:rFonts w:ascii="Alef" w:hAnsi="Alef" w:cs="Alef"/>
          <w:rtl/>
        </w:rPr>
        <w:t xml:space="preserve"> </w:t>
      </w:r>
      <w:r w:rsidRPr="00EA63D2">
        <w:rPr>
          <w:rFonts w:ascii="Alef" w:hAnsi="Alef" w:cs="Alef" w:hint="eastAsia"/>
          <w:rtl/>
        </w:rPr>
        <w:t>פיננסיים</w:t>
      </w:r>
      <w:r w:rsidRPr="00EA63D2">
        <w:rPr>
          <w:rFonts w:ascii="Alef" w:hAnsi="Alef" w:cs="Alef"/>
          <w:rtl/>
        </w:rPr>
        <w:t xml:space="preserve"> </w:t>
      </w:r>
      <w:r w:rsidRPr="00EA63D2">
        <w:rPr>
          <w:rFonts w:ascii="Alef" w:hAnsi="Alef" w:cs="Alef" w:hint="eastAsia"/>
          <w:rtl/>
        </w:rPr>
        <w:t>מהחובה</w:t>
      </w:r>
      <w:r w:rsidRPr="00EA63D2">
        <w:rPr>
          <w:rFonts w:ascii="Alef" w:hAnsi="Alef" w:cs="Alef"/>
          <w:rtl/>
        </w:rPr>
        <w:t xml:space="preserve"> </w:t>
      </w:r>
      <w:r w:rsidRPr="00EA63D2">
        <w:rPr>
          <w:rFonts w:ascii="Alef" w:hAnsi="Alef" w:cs="Alef" w:hint="eastAsia"/>
          <w:rtl/>
        </w:rPr>
        <w:t>ליישם</w:t>
      </w:r>
      <w:r w:rsidRPr="00EA63D2">
        <w:rPr>
          <w:rFonts w:ascii="Alef" w:hAnsi="Alef" w:cs="Alef"/>
          <w:rtl/>
        </w:rPr>
        <w:t xml:space="preserve"> </w:t>
      </w:r>
      <w:r w:rsidRPr="00EA63D2">
        <w:rPr>
          <w:rFonts w:ascii="Alef" w:hAnsi="Alef" w:cs="Alef" w:hint="eastAsia"/>
          <w:rtl/>
        </w:rPr>
        <w:t>עקרונות</w:t>
      </w:r>
      <w:r w:rsidRPr="00EA63D2">
        <w:rPr>
          <w:rFonts w:ascii="Alef" w:hAnsi="Alef" w:cs="Alef"/>
          <w:rtl/>
        </w:rPr>
        <w:t xml:space="preserve"> </w:t>
      </w:r>
      <w:r w:rsidRPr="00EA63D2">
        <w:rPr>
          <w:rFonts w:ascii="Alef" w:hAnsi="Alef" w:cs="Alef" w:hint="eastAsia"/>
          <w:rtl/>
        </w:rPr>
        <w:t>אלו</w:t>
      </w:r>
      <w:r w:rsidRPr="00EA63D2">
        <w:rPr>
          <w:rFonts w:ascii="Alef" w:hAnsi="Alef" w:cs="Alef"/>
          <w:rtl/>
        </w:rPr>
        <w:t xml:space="preserve"> </w:t>
      </w:r>
      <w:r w:rsidRPr="00EA63D2">
        <w:rPr>
          <w:rFonts w:ascii="Alef" w:hAnsi="Alef" w:cs="Alef" w:hint="eastAsia"/>
          <w:rtl/>
        </w:rPr>
        <w:t>על</w:t>
      </w:r>
      <w:r w:rsidRPr="00EA63D2">
        <w:rPr>
          <w:rFonts w:ascii="Alef" w:hAnsi="Alef" w:cs="Alef"/>
          <w:rtl/>
        </w:rPr>
        <w:t xml:space="preserve"> </w:t>
      </w:r>
      <w:r w:rsidRPr="00EA63D2">
        <w:rPr>
          <w:rFonts w:ascii="Alef" w:hAnsi="Alef" w:cs="Alef" w:hint="eastAsia"/>
          <w:rtl/>
        </w:rPr>
        <w:t>רגולציה</w:t>
      </w:r>
      <w:r w:rsidRPr="00EA63D2">
        <w:rPr>
          <w:rFonts w:ascii="Alef" w:hAnsi="Alef" w:cs="Alef"/>
          <w:rtl/>
        </w:rPr>
        <w:t xml:space="preserve"> </w:t>
      </w:r>
      <w:r w:rsidRPr="00EA63D2">
        <w:rPr>
          <w:rFonts w:ascii="Alef" w:hAnsi="Alef" w:cs="Alef" w:hint="eastAsia"/>
          <w:rtl/>
        </w:rPr>
        <w:t>שהם</w:t>
      </w:r>
      <w:r w:rsidRPr="00EA63D2">
        <w:rPr>
          <w:rFonts w:ascii="Alef" w:hAnsi="Alef" w:cs="Alef"/>
          <w:rtl/>
        </w:rPr>
        <w:t xml:space="preserve"> </w:t>
      </w:r>
      <w:r w:rsidRPr="00EA63D2">
        <w:rPr>
          <w:rFonts w:ascii="Alef" w:hAnsi="Alef" w:cs="Alef" w:hint="eastAsia"/>
          <w:rtl/>
        </w:rPr>
        <w:t>מקדמים</w:t>
      </w:r>
      <w:r w:rsidRPr="00EA63D2">
        <w:rPr>
          <w:rFonts w:ascii="Alef" w:hAnsi="Alef" w:cs="Alef"/>
          <w:rtl/>
        </w:rPr>
        <w:t xml:space="preserve">. </w:t>
      </w:r>
      <w:r w:rsidRPr="00EA63D2">
        <w:rPr>
          <w:rFonts w:ascii="Alef" w:hAnsi="Alef" w:cs="Alef" w:hint="eastAsia"/>
          <w:rtl/>
        </w:rPr>
        <w:t>חובת</w:t>
      </w:r>
      <w:r w:rsidRPr="00EA63D2">
        <w:rPr>
          <w:rFonts w:ascii="Alef" w:hAnsi="Alef" w:cs="Alef"/>
          <w:rtl/>
        </w:rPr>
        <w:t xml:space="preserve"> </w:t>
      </w:r>
      <w:r w:rsidRPr="00EA63D2">
        <w:rPr>
          <w:rFonts w:ascii="Alef" w:hAnsi="Alef" w:cs="Alef" w:hint="eastAsia"/>
          <w:rtl/>
        </w:rPr>
        <w:t>יישום</w:t>
      </w:r>
      <w:r w:rsidRPr="00EA63D2">
        <w:rPr>
          <w:rFonts w:ascii="Alef" w:hAnsi="Alef" w:cs="Alef"/>
          <w:rtl/>
        </w:rPr>
        <w:t xml:space="preserve"> </w:t>
      </w:r>
      <w:r w:rsidRPr="00EA63D2">
        <w:rPr>
          <w:rFonts w:ascii="Alef" w:hAnsi="Alef" w:cs="Alef" w:hint="eastAsia"/>
          <w:rtl/>
        </w:rPr>
        <w:t>העקרונות</w:t>
      </w:r>
      <w:r w:rsidRPr="00EA63D2">
        <w:rPr>
          <w:rFonts w:ascii="Alef" w:hAnsi="Alef" w:cs="Alef"/>
          <w:rtl/>
        </w:rPr>
        <w:t xml:space="preserve"> </w:t>
      </w:r>
      <w:r w:rsidRPr="00EA63D2">
        <w:rPr>
          <w:rFonts w:ascii="Alef" w:hAnsi="Alef" w:cs="Alef" w:hint="eastAsia"/>
          <w:rtl/>
        </w:rPr>
        <w:t>האמורים</w:t>
      </w:r>
      <w:r w:rsidRPr="00EA63D2">
        <w:rPr>
          <w:rFonts w:ascii="Alef" w:hAnsi="Alef" w:cs="Alef"/>
          <w:rtl/>
        </w:rPr>
        <w:t xml:space="preserve"> </w:t>
      </w:r>
      <w:r w:rsidRPr="00EA63D2">
        <w:rPr>
          <w:rFonts w:ascii="Alef" w:hAnsi="Alef" w:cs="Alef" w:hint="eastAsia"/>
          <w:rtl/>
        </w:rPr>
        <w:t>כשלעצמה</w:t>
      </w:r>
      <w:r w:rsidRPr="00EA63D2">
        <w:rPr>
          <w:rFonts w:ascii="Alef" w:hAnsi="Alef" w:cs="Alef"/>
          <w:rtl/>
        </w:rPr>
        <w:t xml:space="preserve"> </w:t>
      </w:r>
      <w:r w:rsidRPr="00EA63D2">
        <w:rPr>
          <w:rFonts w:ascii="Alef" w:hAnsi="Alef" w:cs="Alef" w:hint="eastAsia"/>
          <w:rtl/>
        </w:rPr>
        <w:t>וודאי</w:t>
      </w:r>
      <w:r w:rsidRPr="00EA63D2">
        <w:rPr>
          <w:rFonts w:ascii="Alef" w:hAnsi="Alef" w:cs="Alef"/>
          <w:rtl/>
        </w:rPr>
        <w:t xml:space="preserve"> </w:t>
      </w:r>
      <w:r w:rsidRPr="00EA63D2">
        <w:rPr>
          <w:rFonts w:ascii="Alef" w:hAnsi="Alef" w:cs="Alef" w:hint="eastAsia"/>
          <w:rtl/>
        </w:rPr>
        <w:t>אינה</w:t>
      </w:r>
      <w:r w:rsidRPr="00EA63D2">
        <w:rPr>
          <w:rFonts w:ascii="Alef" w:hAnsi="Alef" w:cs="Alef"/>
          <w:rtl/>
        </w:rPr>
        <w:t xml:space="preserve"> </w:t>
      </w:r>
      <w:r w:rsidRPr="00EA63D2">
        <w:rPr>
          <w:rFonts w:ascii="Alef" w:hAnsi="Alef" w:cs="Alef" w:hint="eastAsia"/>
          <w:rtl/>
        </w:rPr>
        <w:t>פוגעת</w:t>
      </w:r>
      <w:r w:rsidRPr="00EA63D2">
        <w:rPr>
          <w:rFonts w:ascii="Alef" w:hAnsi="Alef" w:cs="Alef"/>
          <w:rtl/>
        </w:rPr>
        <w:t xml:space="preserve"> </w:t>
      </w:r>
      <w:r w:rsidRPr="00EA63D2">
        <w:rPr>
          <w:rFonts w:ascii="Alef" w:hAnsi="Alef" w:cs="Alef" w:hint="eastAsia"/>
          <w:rtl/>
        </w:rPr>
        <w:t>בעצמאות</w:t>
      </w:r>
      <w:r w:rsidRPr="00EA63D2">
        <w:rPr>
          <w:rFonts w:ascii="Alef" w:hAnsi="Alef" w:cs="Alef"/>
          <w:rtl/>
        </w:rPr>
        <w:t xml:space="preserve">, </w:t>
      </w:r>
      <w:r w:rsidRPr="00EA63D2">
        <w:rPr>
          <w:rFonts w:ascii="Alef" w:hAnsi="Alef" w:cs="Alef" w:hint="eastAsia"/>
          <w:rtl/>
        </w:rPr>
        <w:t>אלא</w:t>
      </w:r>
      <w:r w:rsidRPr="00EA63D2">
        <w:rPr>
          <w:rFonts w:ascii="Alef" w:hAnsi="Alef" w:cs="Alef"/>
          <w:rtl/>
        </w:rPr>
        <w:t xml:space="preserve"> </w:t>
      </w:r>
      <w:r w:rsidRPr="00EA63D2">
        <w:rPr>
          <w:rFonts w:ascii="Alef" w:hAnsi="Alef" w:cs="Alef" w:hint="eastAsia"/>
          <w:rtl/>
        </w:rPr>
        <w:t>אך</w:t>
      </w:r>
      <w:r w:rsidRPr="00EA63D2">
        <w:rPr>
          <w:rFonts w:ascii="Alef" w:hAnsi="Alef" w:cs="Alef"/>
          <w:rtl/>
        </w:rPr>
        <w:t xml:space="preserve"> </w:t>
      </w:r>
      <w:r w:rsidRPr="00EA63D2">
        <w:rPr>
          <w:rFonts w:ascii="Alef" w:hAnsi="Alef" w:cs="Alef" w:hint="eastAsia"/>
          <w:rtl/>
        </w:rPr>
        <w:t>משפרת</w:t>
      </w:r>
      <w:r w:rsidRPr="00EA63D2">
        <w:rPr>
          <w:rFonts w:ascii="Alef" w:hAnsi="Alef" w:cs="Alef"/>
          <w:rtl/>
        </w:rPr>
        <w:t xml:space="preserve"> </w:t>
      </w:r>
      <w:r w:rsidRPr="00EA63D2">
        <w:rPr>
          <w:rFonts w:ascii="Alef" w:hAnsi="Alef" w:cs="Alef" w:hint="eastAsia"/>
          <w:rtl/>
        </w:rPr>
        <w:t>את</w:t>
      </w:r>
      <w:r w:rsidRPr="00EA63D2">
        <w:rPr>
          <w:rFonts w:ascii="Alef" w:hAnsi="Alef" w:cs="Alef"/>
          <w:rtl/>
        </w:rPr>
        <w:t xml:space="preserve"> </w:t>
      </w:r>
      <w:r w:rsidRPr="00EA63D2">
        <w:rPr>
          <w:rFonts w:ascii="Alef" w:hAnsi="Alef" w:cs="Alef" w:hint="eastAsia"/>
          <w:rtl/>
        </w:rPr>
        <w:t>ההליך</w:t>
      </w:r>
      <w:r w:rsidRPr="00EA63D2">
        <w:rPr>
          <w:rFonts w:ascii="Alef" w:hAnsi="Alef" w:cs="Alef"/>
          <w:rtl/>
        </w:rPr>
        <w:t xml:space="preserve"> </w:t>
      </w:r>
      <w:r w:rsidRPr="00EA63D2">
        <w:rPr>
          <w:rFonts w:ascii="Alef" w:hAnsi="Alef" w:cs="Alef" w:hint="eastAsia"/>
          <w:rtl/>
        </w:rPr>
        <w:t>הרגולטורי</w:t>
      </w:r>
      <w:r w:rsidRPr="00EA63D2">
        <w:rPr>
          <w:rFonts w:ascii="Alef" w:hAnsi="Alef" w:cs="Alef"/>
          <w:rtl/>
        </w:rPr>
        <w:t>.</w:t>
      </w:r>
    </w:p>
    <w:p w14:paraId="7DD39CB2" w14:textId="1F4FE43D" w:rsidR="00000F5C" w:rsidRDefault="00000F5C" w:rsidP="00EA63D2">
      <w:pPr>
        <w:spacing w:before="120"/>
        <w:rPr>
          <w:rFonts w:ascii="Alef" w:hAnsi="Alef" w:cs="Alef"/>
          <w:rtl/>
        </w:rPr>
      </w:pPr>
      <w:r w:rsidRPr="00EA63D2">
        <w:rPr>
          <w:rFonts w:ascii="Alef" w:hAnsi="Alef" w:cs="Alef" w:hint="eastAsia"/>
          <w:rtl/>
        </w:rPr>
        <w:t>באשר</w:t>
      </w:r>
      <w:r w:rsidRPr="00EA63D2">
        <w:rPr>
          <w:rFonts w:ascii="Alef" w:hAnsi="Alef" w:cs="Alef"/>
          <w:rtl/>
        </w:rPr>
        <w:t xml:space="preserve"> ליתר ההוראות, ככל שישנן הוראות שעלולות לפגוע בעצמאות הרגולטורים, הרי שאין להחיל אותן על אף רגולטור עצמאי, ואין סיבה להבחין בין רגולטור עצמאי אחד למשנהו. בישראל פועלים רגולטורים עצמאיים רבים (למשל, הרשות להגנת הצרכן</w:t>
      </w:r>
      <w:r w:rsidR="009D56EA">
        <w:rPr>
          <w:rFonts w:ascii="Alef" w:hAnsi="Alef" w:cs="Alef" w:hint="cs"/>
          <w:rtl/>
        </w:rPr>
        <w:t>, רשות המים</w:t>
      </w:r>
      <w:r w:rsidRPr="00EA63D2">
        <w:rPr>
          <w:rFonts w:ascii="Alef" w:hAnsi="Alef" w:cs="Alef"/>
          <w:rtl/>
        </w:rPr>
        <w:t xml:space="preserve"> או רשות התחרות), והנימוק שהובא בסעיף 100 לדו"ח תקף גם לגביהם. כך, למשל, אין חולק שגם לעצמאות</w:t>
      </w:r>
      <w:r w:rsidRPr="00EA63D2">
        <w:rPr>
          <w:rFonts w:ascii="Alef" w:hAnsi="Alef" w:cs="Alef" w:hint="eastAsia"/>
          <w:rtl/>
        </w:rPr>
        <w:t>ה</w:t>
      </w:r>
      <w:r w:rsidRPr="00EA63D2">
        <w:rPr>
          <w:rFonts w:ascii="Alef" w:hAnsi="Alef" w:cs="Alef"/>
          <w:rtl/>
        </w:rPr>
        <w:t xml:space="preserve"> </w:t>
      </w:r>
      <w:r w:rsidRPr="00EA63D2">
        <w:rPr>
          <w:rFonts w:ascii="Alef" w:hAnsi="Alef" w:cs="Alef" w:hint="eastAsia"/>
          <w:rtl/>
        </w:rPr>
        <w:t>של</w:t>
      </w:r>
      <w:r w:rsidRPr="00EA63D2">
        <w:rPr>
          <w:rFonts w:ascii="Alef" w:hAnsi="Alef" w:cs="Alef"/>
          <w:rtl/>
        </w:rPr>
        <w:t xml:space="preserve"> </w:t>
      </w:r>
      <w:r w:rsidRPr="00EA63D2">
        <w:rPr>
          <w:rFonts w:ascii="Alef" w:hAnsi="Alef" w:cs="Alef" w:hint="eastAsia"/>
          <w:rtl/>
        </w:rPr>
        <w:t>רשות</w:t>
      </w:r>
      <w:r w:rsidRPr="00EA63D2">
        <w:rPr>
          <w:rFonts w:ascii="Alef" w:hAnsi="Alef" w:cs="Alef"/>
          <w:rtl/>
        </w:rPr>
        <w:t xml:space="preserve"> </w:t>
      </w:r>
      <w:r w:rsidRPr="00EA63D2">
        <w:rPr>
          <w:rFonts w:ascii="Alef" w:hAnsi="Alef" w:cs="Alef" w:hint="eastAsia"/>
          <w:rtl/>
        </w:rPr>
        <w:t>התחרות</w:t>
      </w:r>
      <w:r w:rsidRPr="00EA63D2">
        <w:rPr>
          <w:rFonts w:ascii="Alef" w:hAnsi="Alef" w:cs="Alef"/>
          <w:rtl/>
        </w:rPr>
        <w:t xml:space="preserve"> נודעת חשיבות רבה </w:t>
      </w:r>
      <w:r w:rsidRPr="00EA63D2">
        <w:rPr>
          <w:rFonts w:ascii="Alef" w:hAnsi="Alef" w:cs="Alef" w:hint="eastAsia"/>
          <w:rtl/>
        </w:rPr>
        <w:t>הן</w:t>
      </w:r>
      <w:r w:rsidRPr="00EA63D2">
        <w:rPr>
          <w:rFonts w:ascii="Alef" w:hAnsi="Alef" w:cs="Alef"/>
          <w:rtl/>
        </w:rPr>
        <w:t xml:space="preserve"> ברמה המהותית (הרחקת</w:t>
      </w:r>
      <w:r w:rsidRPr="00EA63D2">
        <w:rPr>
          <w:rFonts w:ascii="Alef" w:hAnsi="Alef" w:cs="Alef" w:hint="eastAsia"/>
          <w:rtl/>
        </w:rPr>
        <w:t>ה</w:t>
      </w:r>
      <w:r w:rsidRPr="00EA63D2">
        <w:rPr>
          <w:rFonts w:ascii="Alef" w:hAnsi="Alef" w:cs="Alef"/>
          <w:rtl/>
        </w:rPr>
        <w:t xml:space="preserve"> משיקולים שאינם מקצועיים וכאלה הנובעים מאינטרסים כלכליים צרים, </w:t>
      </w:r>
      <w:r w:rsidRPr="00EA63D2">
        <w:rPr>
          <w:rFonts w:ascii="Alef" w:hAnsi="Alef" w:cs="Alef" w:hint="eastAsia"/>
          <w:rtl/>
        </w:rPr>
        <w:t>למשל</w:t>
      </w:r>
      <w:r w:rsidRPr="00EA63D2">
        <w:rPr>
          <w:rFonts w:ascii="Alef" w:hAnsi="Alef" w:cs="Alef"/>
          <w:rtl/>
        </w:rPr>
        <w:t xml:space="preserve"> </w:t>
      </w:r>
      <w:r w:rsidRPr="00EA63D2">
        <w:rPr>
          <w:rFonts w:ascii="Alef" w:hAnsi="Alef" w:cs="Alef" w:hint="eastAsia"/>
          <w:rtl/>
        </w:rPr>
        <w:t>בעת</w:t>
      </w:r>
      <w:r w:rsidRPr="00EA63D2">
        <w:rPr>
          <w:rFonts w:ascii="Alef" w:hAnsi="Alef" w:cs="Alef"/>
          <w:rtl/>
        </w:rPr>
        <w:t xml:space="preserve"> </w:t>
      </w:r>
      <w:r w:rsidRPr="00EA63D2">
        <w:rPr>
          <w:rFonts w:ascii="Alef" w:hAnsi="Alef" w:cs="Alef" w:hint="eastAsia"/>
          <w:rtl/>
        </w:rPr>
        <w:t>החלטה</w:t>
      </w:r>
      <w:r w:rsidRPr="00EA63D2">
        <w:rPr>
          <w:rFonts w:ascii="Alef" w:hAnsi="Alef" w:cs="Alef"/>
          <w:rtl/>
        </w:rPr>
        <w:t xml:space="preserve"> </w:t>
      </w:r>
      <w:r w:rsidRPr="00EA63D2">
        <w:rPr>
          <w:rFonts w:ascii="Alef" w:hAnsi="Alef" w:cs="Alef" w:hint="eastAsia"/>
          <w:rtl/>
        </w:rPr>
        <w:t>על</w:t>
      </w:r>
      <w:r w:rsidRPr="00EA63D2">
        <w:rPr>
          <w:rFonts w:ascii="Alef" w:hAnsi="Alef" w:cs="Alef"/>
          <w:rtl/>
        </w:rPr>
        <w:t xml:space="preserve"> </w:t>
      </w:r>
      <w:r w:rsidRPr="00EA63D2">
        <w:rPr>
          <w:rFonts w:ascii="Alef" w:hAnsi="Alef" w:cs="Alef" w:hint="eastAsia"/>
          <w:rtl/>
        </w:rPr>
        <w:t>אישור</w:t>
      </w:r>
      <w:r w:rsidRPr="00EA63D2">
        <w:rPr>
          <w:rFonts w:ascii="Alef" w:hAnsi="Alef" w:cs="Alef"/>
          <w:rtl/>
        </w:rPr>
        <w:t xml:space="preserve"> </w:t>
      </w:r>
      <w:r w:rsidRPr="00EA63D2">
        <w:rPr>
          <w:rFonts w:ascii="Alef" w:hAnsi="Alef" w:cs="Alef" w:hint="eastAsia"/>
          <w:rtl/>
        </w:rPr>
        <w:t>מיזוג</w:t>
      </w:r>
      <w:r w:rsidRPr="00EA63D2">
        <w:rPr>
          <w:rFonts w:ascii="Alef" w:hAnsi="Alef" w:cs="Alef"/>
          <w:rtl/>
        </w:rPr>
        <w:t>) ו</w:t>
      </w:r>
      <w:r w:rsidRPr="00EA63D2">
        <w:rPr>
          <w:rFonts w:ascii="Alef" w:hAnsi="Alef" w:cs="Alef" w:hint="eastAsia"/>
          <w:rtl/>
        </w:rPr>
        <w:t>הן</w:t>
      </w:r>
      <w:r w:rsidRPr="00EA63D2">
        <w:rPr>
          <w:rFonts w:ascii="Alef" w:hAnsi="Alef" w:cs="Alef"/>
          <w:rtl/>
        </w:rPr>
        <w:t xml:space="preserve"> ברמה הבינלאומית (בשים לב לקשר שלה עם רשויות תחרות בעולם ולמעמד</w:t>
      </w:r>
      <w:r w:rsidRPr="00EA63D2">
        <w:rPr>
          <w:rFonts w:ascii="Alef" w:hAnsi="Alef" w:cs="Alef" w:hint="eastAsia"/>
          <w:rtl/>
        </w:rPr>
        <w:t>ה</w:t>
      </w:r>
      <w:r w:rsidRPr="00EA63D2">
        <w:rPr>
          <w:rFonts w:ascii="Alef" w:hAnsi="Alef" w:cs="Alef"/>
          <w:rtl/>
        </w:rPr>
        <w:t xml:space="preserve"> בעיני ארגוני תחרות בינלאומיים). </w:t>
      </w:r>
    </w:p>
    <w:p w14:paraId="56F3B932" w14:textId="2637D671" w:rsidR="00EA63D2" w:rsidRPr="00EA63D2" w:rsidRDefault="00EA63D2" w:rsidP="00E30BCE">
      <w:pPr>
        <w:spacing w:before="120"/>
        <w:rPr>
          <w:rFonts w:ascii="Alef" w:hAnsi="Alef" w:cs="Alef"/>
        </w:rPr>
      </w:pPr>
      <w:r>
        <w:rPr>
          <w:rFonts w:ascii="Alef" w:hAnsi="Alef" w:cs="Alef" w:hint="cs"/>
          <w:rtl/>
        </w:rPr>
        <w:t xml:space="preserve">במאמר מוסגר </w:t>
      </w:r>
      <w:proofErr w:type="spellStart"/>
      <w:r>
        <w:rPr>
          <w:rFonts w:ascii="Alef" w:hAnsi="Alef" w:cs="Alef" w:hint="cs"/>
          <w:rtl/>
        </w:rPr>
        <w:t>יצויין</w:t>
      </w:r>
      <w:proofErr w:type="spellEnd"/>
      <w:r>
        <w:rPr>
          <w:rFonts w:ascii="Alef" w:hAnsi="Alef" w:cs="Alef" w:hint="cs"/>
          <w:rtl/>
        </w:rPr>
        <w:t xml:space="preserve"> כי רשות התחרות אכן סבורה שאין לפגוע בעצמאות הרגולטורים ושהפח</w:t>
      </w:r>
      <w:r w:rsidR="00501B2D">
        <w:rPr>
          <w:rFonts w:ascii="Alef" w:hAnsi="Alef" w:cs="Alef" w:hint="cs"/>
          <w:rtl/>
        </w:rPr>
        <w:t>ת</w:t>
      </w:r>
      <w:r>
        <w:rPr>
          <w:rFonts w:ascii="Alef" w:hAnsi="Alef" w:cs="Alef" w:hint="cs"/>
          <w:rtl/>
        </w:rPr>
        <w:t xml:space="preserve">ת הרגולציה כאמור לעיל צריכה </w:t>
      </w:r>
      <w:r w:rsidR="00501B2D">
        <w:rPr>
          <w:rFonts w:ascii="Alef" w:hAnsi="Alef" w:cs="Alef" w:hint="cs"/>
          <w:rtl/>
        </w:rPr>
        <w:t>להיעשות</w:t>
      </w:r>
      <w:r>
        <w:rPr>
          <w:rFonts w:ascii="Alef" w:hAnsi="Alef" w:cs="Alef" w:hint="cs"/>
          <w:rtl/>
        </w:rPr>
        <w:t xml:space="preserve"> </w:t>
      </w:r>
      <w:r w:rsidR="00501B2D">
        <w:rPr>
          <w:rFonts w:ascii="Alef" w:hAnsi="Alef" w:cs="Alef" w:hint="cs"/>
          <w:rtl/>
        </w:rPr>
        <w:t>תוך שמירה מלאה של עקרון זה</w:t>
      </w:r>
      <w:r w:rsidR="005C2742">
        <w:rPr>
          <w:rFonts w:ascii="Alef" w:hAnsi="Alef" w:cs="Alef" w:hint="cs"/>
          <w:rtl/>
        </w:rPr>
        <w:t xml:space="preserve">. לכן, אנו סבורים כי </w:t>
      </w:r>
      <w:r w:rsidR="00E30BCE">
        <w:rPr>
          <w:rFonts w:ascii="Alef" w:hAnsi="Alef" w:cs="Alef" w:hint="cs"/>
          <w:rtl/>
        </w:rPr>
        <w:t>הד</w:t>
      </w:r>
      <w:r w:rsidR="005C2742">
        <w:rPr>
          <w:rFonts w:ascii="Alef" w:hAnsi="Alef" w:cs="Alef" w:hint="cs"/>
          <w:rtl/>
        </w:rPr>
        <w:t>רך המיטבית להשגת היתרונות הגלומים ברפורמה היא לשים במרכז את הרגולטור כמי שאחראי לשקילת שלל השיקולים שיקבעו בחוק ואיזונ</w:t>
      </w:r>
      <w:r w:rsidR="00E30BCE">
        <w:rPr>
          <w:rFonts w:ascii="Alef" w:hAnsi="Alef" w:cs="Alef" w:hint="cs"/>
          <w:rtl/>
        </w:rPr>
        <w:t>ם, בדומה למנגנון הקבוע בסעיף 11(א) לחוק לקידום התחרות ולצמצום הריכוזיות, תשע"ד-2013</w:t>
      </w:r>
      <w:r w:rsidR="00501B2D">
        <w:rPr>
          <w:rFonts w:ascii="Alef" w:hAnsi="Alef" w:cs="Alef" w:hint="cs"/>
          <w:rtl/>
        </w:rPr>
        <w:t>.</w:t>
      </w:r>
    </w:p>
    <w:p w14:paraId="3A2F4C6E" w14:textId="77777777" w:rsidR="00000F5C" w:rsidRPr="00501B2D" w:rsidRDefault="00000F5C" w:rsidP="00EA63D2">
      <w:pPr>
        <w:spacing w:before="120"/>
        <w:rPr>
          <w:rFonts w:ascii="Alef" w:hAnsi="Alef" w:cs="Alef"/>
        </w:rPr>
      </w:pPr>
      <w:r w:rsidRPr="00501B2D">
        <w:rPr>
          <w:rFonts w:ascii="Alef" w:hAnsi="Alef" w:cs="Alef" w:hint="eastAsia"/>
          <w:rtl/>
        </w:rPr>
        <w:t>לסיכום</w:t>
      </w:r>
      <w:r w:rsidRPr="00501B2D">
        <w:rPr>
          <w:rFonts w:ascii="Alef" w:hAnsi="Alef" w:cs="Alef"/>
          <w:rtl/>
        </w:rPr>
        <w:t xml:space="preserve">, </w:t>
      </w:r>
      <w:r w:rsidRPr="00501B2D">
        <w:rPr>
          <w:rFonts w:ascii="Alef" w:hAnsi="Alef" w:cs="Alef" w:hint="eastAsia"/>
          <w:rtl/>
        </w:rPr>
        <w:t>אנחנו</w:t>
      </w:r>
      <w:r w:rsidRPr="00501B2D">
        <w:rPr>
          <w:rFonts w:ascii="Alef" w:hAnsi="Alef" w:cs="Alef"/>
          <w:rtl/>
        </w:rPr>
        <w:t xml:space="preserve"> </w:t>
      </w:r>
      <w:r w:rsidRPr="00501B2D">
        <w:rPr>
          <w:rFonts w:ascii="Alef" w:hAnsi="Alef" w:cs="Alef" w:hint="eastAsia"/>
          <w:rtl/>
        </w:rPr>
        <w:t>רואים</w:t>
      </w:r>
      <w:r w:rsidRPr="00501B2D">
        <w:rPr>
          <w:rFonts w:ascii="Alef" w:hAnsi="Alef" w:cs="Alef"/>
          <w:rtl/>
        </w:rPr>
        <w:t xml:space="preserve"> </w:t>
      </w:r>
      <w:r w:rsidRPr="00501B2D">
        <w:rPr>
          <w:rFonts w:ascii="Alef" w:hAnsi="Alef" w:cs="Alef" w:hint="eastAsia"/>
          <w:rtl/>
        </w:rPr>
        <w:t>חשיבות</w:t>
      </w:r>
      <w:r w:rsidRPr="00501B2D">
        <w:rPr>
          <w:rFonts w:ascii="Alef" w:hAnsi="Alef" w:cs="Alef"/>
          <w:rtl/>
        </w:rPr>
        <w:t xml:space="preserve"> </w:t>
      </w:r>
      <w:r w:rsidRPr="00501B2D">
        <w:rPr>
          <w:rFonts w:ascii="Alef" w:hAnsi="Alef" w:cs="Alef" w:hint="eastAsia"/>
          <w:rtl/>
        </w:rPr>
        <w:t>רבה</w:t>
      </w:r>
      <w:r w:rsidRPr="00501B2D">
        <w:rPr>
          <w:rFonts w:ascii="Alef" w:hAnsi="Alef" w:cs="Alef"/>
          <w:rtl/>
        </w:rPr>
        <w:t xml:space="preserve"> </w:t>
      </w:r>
      <w:r w:rsidRPr="00501B2D">
        <w:rPr>
          <w:rFonts w:ascii="Alef" w:hAnsi="Alef" w:cs="Alef" w:hint="eastAsia"/>
          <w:rtl/>
        </w:rPr>
        <w:t>במאמץ</w:t>
      </w:r>
      <w:r w:rsidRPr="00501B2D">
        <w:rPr>
          <w:rFonts w:ascii="Alef" w:hAnsi="Alef" w:cs="Alef"/>
          <w:rtl/>
        </w:rPr>
        <w:t xml:space="preserve"> </w:t>
      </w:r>
      <w:r w:rsidRPr="00501B2D">
        <w:rPr>
          <w:rFonts w:ascii="Alef" w:hAnsi="Alef" w:cs="Alef" w:hint="eastAsia"/>
          <w:rtl/>
        </w:rPr>
        <w:t>ממשלתי</w:t>
      </w:r>
      <w:r w:rsidRPr="00501B2D">
        <w:rPr>
          <w:rFonts w:ascii="Alef" w:hAnsi="Alef" w:cs="Alef"/>
          <w:rtl/>
        </w:rPr>
        <w:t xml:space="preserve"> </w:t>
      </w:r>
      <w:r w:rsidRPr="00501B2D">
        <w:rPr>
          <w:rFonts w:ascii="Alef" w:hAnsi="Alef" w:cs="Alef" w:hint="eastAsia"/>
          <w:rtl/>
        </w:rPr>
        <w:t>כולל</w:t>
      </w:r>
      <w:r w:rsidRPr="00501B2D">
        <w:rPr>
          <w:rFonts w:ascii="Alef" w:hAnsi="Alef" w:cs="Alef"/>
          <w:rtl/>
        </w:rPr>
        <w:t xml:space="preserve"> </w:t>
      </w:r>
      <w:r w:rsidRPr="00501B2D">
        <w:rPr>
          <w:rFonts w:ascii="Alef" w:hAnsi="Alef" w:cs="Alef" w:hint="eastAsia"/>
          <w:rtl/>
        </w:rPr>
        <w:t>למעבר</w:t>
      </w:r>
      <w:r w:rsidRPr="00501B2D">
        <w:rPr>
          <w:rFonts w:ascii="Alef" w:hAnsi="Alef" w:cs="Alef"/>
          <w:rtl/>
        </w:rPr>
        <w:t xml:space="preserve"> </w:t>
      </w:r>
      <w:r w:rsidRPr="00501B2D">
        <w:rPr>
          <w:rFonts w:ascii="Alef" w:hAnsi="Alef" w:cs="Alef" w:hint="eastAsia"/>
          <w:rtl/>
        </w:rPr>
        <w:t>לרגולציה</w:t>
      </w:r>
      <w:r w:rsidRPr="00501B2D">
        <w:rPr>
          <w:rFonts w:ascii="Alef" w:hAnsi="Alef" w:cs="Alef"/>
          <w:rtl/>
        </w:rPr>
        <w:t xml:space="preserve"> </w:t>
      </w:r>
      <w:r w:rsidRPr="00501B2D">
        <w:rPr>
          <w:rFonts w:ascii="Alef" w:hAnsi="Alef" w:cs="Alef" w:hint="eastAsia"/>
          <w:rtl/>
        </w:rPr>
        <w:t>חכמה</w:t>
      </w:r>
      <w:r w:rsidRPr="00501B2D">
        <w:rPr>
          <w:rFonts w:ascii="Alef" w:hAnsi="Alef" w:cs="Alef"/>
          <w:rtl/>
        </w:rPr>
        <w:t xml:space="preserve"> </w:t>
      </w:r>
      <w:r w:rsidRPr="00501B2D">
        <w:rPr>
          <w:rFonts w:ascii="Alef" w:hAnsi="Alef" w:cs="Alef" w:hint="eastAsia"/>
          <w:rtl/>
        </w:rPr>
        <w:t>בישראל</w:t>
      </w:r>
      <w:r w:rsidRPr="00501B2D">
        <w:rPr>
          <w:rFonts w:ascii="Alef" w:hAnsi="Alef" w:cs="Alef"/>
          <w:rtl/>
        </w:rPr>
        <w:t xml:space="preserve">. </w:t>
      </w:r>
      <w:r w:rsidRPr="00501B2D">
        <w:rPr>
          <w:rFonts w:ascii="Alef" w:hAnsi="Alef" w:cs="Alef" w:hint="eastAsia"/>
          <w:rtl/>
        </w:rPr>
        <w:t>יחד</w:t>
      </w:r>
      <w:r w:rsidRPr="00501B2D">
        <w:rPr>
          <w:rFonts w:ascii="Alef" w:hAnsi="Alef" w:cs="Alef"/>
          <w:rtl/>
        </w:rPr>
        <w:t xml:space="preserve"> </w:t>
      </w:r>
      <w:r w:rsidRPr="00501B2D">
        <w:rPr>
          <w:rFonts w:ascii="Alef" w:hAnsi="Alef" w:cs="Alef" w:hint="eastAsia"/>
          <w:rtl/>
        </w:rPr>
        <w:t>עם</w:t>
      </w:r>
      <w:r w:rsidRPr="00501B2D">
        <w:rPr>
          <w:rFonts w:ascii="Alef" w:hAnsi="Alef" w:cs="Alef"/>
          <w:rtl/>
        </w:rPr>
        <w:t xml:space="preserve"> </w:t>
      </w:r>
      <w:r w:rsidRPr="00501B2D">
        <w:rPr>
          <w:rFonts w:ascii="Alef" w:hAnsi="Alef" w:cs="Alef" w:hint="eastAsia"/>
          <w:rtl/>
        </w:rPr>
        <w:t>זאת</w:t>
      </w:r>
      <w:r w:rsidRPr="00501B2D">
        <w:rPr>
          <w:rFonts w:ascii="Alef" w:hAnsi="Alef" w:cs="Alef"/>
          <w:rtl/>
        </w:rPr>
        <w:t xml:space="preserve">, </w:t>
      </w:r>
      <w:r w:rsidRPr="00501B2D">
        <w:rPr>
          <w:rFonts w:ascii="Alef" w:hAnsi="Alef" w:cs="Alef" w:hint="eastAsia"/>
          <w:rtl/>
        </w:rPr>
        <w:t>וכפי</w:t>
      </w:r>
      <w:r w:rsidRPr="00501B2D">
        <w:rPr>
          <w:rFonts w:ascii="Alef" w:hAnsi="Alef" w:cs="Alef"/>
          <w:rtl/>
        </w:rPr>
        <w:t xml:space="preserve"> </w:t>
      </w:r>
      <w:r w:rsidRPr="00501B2D">
        <w:rPr>
          <w:rFonts w:ascii="Alef" w:hAnsi="Alef" w:cs="Alef" w:hint="eastAsia"/>
          <w:rtl/>
        </w:rPr>
        <w:t>שהודגש</w:t>
      </w:r>
      <w:r w:rsidRPr="00501B2D">
        <w:rPr>
          <w:rFonts w:ascii="Alef" w:hAnsi="Alef" w:cs="Alef"/>
          <w:rtl/>
        </w:rPr>
        <w:t xml:space="preserve"> </w:t>
      </w:r>
      <w:r w:rsidRPr="00501B2D">
        <w:rPr>
          <w:rFonts w:ascii="Alef" w:hAnsi="Alef" w:cs="Alef" w:hint="eastAsia"/>
          <w:rtl/>
        </w:rPr>
        <w:t>לעיל</w:t>
      </w:r>
      <w:r w:rsidRPr="00501B2D">
        <w:rPr>
          <w:rFonts w:ascii="Alef" w:hAnsi="Alef" w:cs="Alef"/>
          <w:rtl/>
        </w:rPr>
        <w:t xml:space="preserve">, </w:t>
      </w:r>
      <w:r w:rsidRPr="00501B2D">
        <w:rPr>
          <w:rFonts w:ascii="Alef" w:hAnsi="Alef" w:cs="Alef" w:hint="eastAsia"/>
          <w:rtl/>
        </w:rPr>
        <w:t>לטעמנו</w:t>
      </w:r>
      <w:r w:rsidRPr="00501B2D">
        <w:rPr>
          <w:rFonts w:ascii="Alef" w:hAnsi="Alef" w:cs="Alef"/>
          <w:rtl/>
        </w:rPr>
        <w:t xml:space="preserve"> </w:t>
      </w:r>
      <w:r w:rsidRPr="00501B2D">
        <w:rPr>
          <w:rFonts w:ascii="Alef" w:hAnsi="Alef" w:cs="Alef" w:hint="eastAsia"/>
          <w:rtl/>
        </w:rPr>
        <w:t>יש</w:t>
      </w:r>
      <w:r w:rsidRPr="00501B2D">
        <w:rPr>
          <w:rFonts w:ascii="Alef" w:hAnsi="Alef" w:cs="Alef"/>
          <w:rtl/>
        </w:rPr>
        <w:t xml:space="preserve"> </w:t>
      </w:r>
      <w:r w:rsidRPr="00501B2D">
        <w:rPr>
          <w:rFonts w:ascii="Alef" w:hAnsi="Alef" w:cs="Alef" w:hint="eastAsia"/>
          <w:rtl/>
        </w:rPr>
        <w:t>למקד</w:t>
      </w:r>
      <w:r w:rsidRPr="00501B2D">
        <w:rPr>
          <w:rFonts w:ascii="Alef" w:hAnsi="Alef" w:cs="Alef"/>
          <w:rtl/>
        </w:rPr>
        <w:t xml:space="preserve"> </w:t>
      </w:r>
      <w:r w:rsidRPr="00501B2D">
        <w:rPr>
          <w:rFonts w:ascii="Alef" w:hAnsi="Alef" w:cs="Alef" w:hint="eastAsia"/>
          <w:rtl/>
        </w:rPr>
        <w:t>את</w:t>
      </w:r>
      <w:r w:rsidRPr="00501B2D">
        <w:rPr>
          <w:rFonts w:ascii="Alef" w:hAnsi="Alef" w:cs="Alef"/>
          <w:rtl/>
        </w:rPr>
        <w:t xml:space="preserve"> </w:t>
      </w:r>
      <w:r w:rsidRPr="00501B2D">
        <w:rPr>
          <w:rFonts w:ascii="Alef" w:hAnsi="Alef" w:cs="Alef" w:hint="eastAsia"/>
          <w:rtl/>
        </w:rPr>
        <w:t>המאמצים</w:t>
      </w:r>
      <w:r w:rsidRPr="00501B2D">
        <w:rPr>
          <w:rFonts w:ascii="Alef" w:hAnsi="Alef" w:cs="Alef"/>
          <w:rtl/>
        </w:rPr>
        <w:t xml:space="preserve"> </w:t>
      </w:r>
      <w:r w:rsidRPr="00501B2D">
        <w:rPr>
          <w:rFonts w:ascii="Alef" w:hAnsi="Alef" w:cs="Alef" w:hint="eastAsia"/>
          <w:rtl/>
        </w:rPr>
        <w:t>ביצירת</w:t>
      </w:r>
      <w:r w:rsidRPr="00501B2D">
        <w:rPr>
          <w:rFonts w:ascii="Alef" w:hAnsi="Alef" w:cs="Alef"/>
          <w:rtl/>
        </w:rPr>
        <w:t xml:space="preserve"> </w:t>
      </w:r>
      <w:r w:rsidRPr="00501B2D">
        <w:rPr>
          <w:rFonts w:ascii="Alef" w:hAnsi="Alef" w:cs="Alef" w:hint="eastAsia"/>
          <w:rtl/>
        </w:rPr>
        <w:t>עקרונות</w:t>
      </w:r>
      <w:r w:rsidRPr="00501B2D">
        <w:rPr>
          <w:rFonts w:ascii="Alef" w:hAnsi="Alef" w:cs="Alef"/>
          <w:rtl/>
        </w:rPr>
        <w:t xml:space="preserve"> </w:t>
      </w:r>
      <w:r w:rsidRPr="00501B2D">
        <w:rPr>
          <w:rFonts w:ascii="Alef" w:hAnsi="Alef" w:cs="Alef" w:hint="eastAsia"/>
          <w:rtl/>
        </w:rPr>
        <w:t>מנחים</w:t>
      </w:r>
      <w:r w:rsidRPr="00501B2D">
        <w:rPr>
          <w:rFonts w:ascii="Alef" w:hAnsi="Alef" w:cs="Alef"/>
          <w:rtl/>
        </w:rPr>
        <w:t xml:space="preserve"> </w:t>
      </w:r>
      <w:r w:rsidRPr="00501B2D">
        <w:rPr>
          <w:rFonts w:ascii="Alef" w:hAnsi="Alef" w:cs="Alef" w:hint="eastAsia"/>
          <w:rtl/>
        </w:rPr>
        <w:t>ברורים</w:t>
      </w:r>
      <w:r w:rsidRPr="00501B2D">
        <w:rPr>
          <w:rFonts w:ascii="Alef" w:hAnsi="Alef" w:cs="Alef"/>
          <w:rtl/>
        </w:rPr>
        <w:t xml:space="preserve"> </w:t>
      </w:r>
      <w:r w:rsidRPr="00501B2D">
        <w:rPr>
          <w:rFonts w:ascii="Alef" w:hAnsi="Alef" w:cs="Alef" w:hint="eastAsia"/>
          <w:rtl/>
        </w:rPr>
        <w:t>ומשמעותיים</w:t>
      </w:r>
      <w:r w:rsidRPr="00501B2D">
        <w:rPr>
          <w:rFonts w:ascii="Alef" w:hAnsi="Alef" w:cs="Alef"/>
          <w:rtl/>
        </w:rPr>
        <w:t xml:space="preserve"> </w:t>
      </w:r>
      <w:r w:rsidRPr="00501B2D">
        <w:rPr>
          <w:rFonts w:ascii="Alef" w:hAnsi="Alef" w:cs="Alef" w:hint="eastAsia"/>
          <w:rtl/>
        </w:rPr>
        <w:t>שיהפכו</w:t>
      </w:r>
      <w:r w:rsidRPr="00501B2D">
        <w:rPr>
          <w:rFonts w:ascii="Alef" w:hAnsi="Alef" w:cs="Alef"/>
          <w:rtl/>
        </w:rPr>
        <w:t xml:space="preserve"> </w:t>
      </w:r>
      <w:r w:rsidRPr="00501B2D">
        <w:rPr>
          <w:rFonts w:ascii="Alef" w:hAnsi="Alef" w:cs="Alef" w:hint="eastAsia"/>
          <w:rtl/>
        </w:rPr>
        <w:t>את</w:t>
      </w:r>
      <w:r w:rsidRPr="00501B2D">
        <w:rPr>
          <w:rFonts w:ascii="Alef" w:hAnsi="Alef" w:cs="Alef"/>
          <w:rtl/>
        </w:rPr>
        <w:t xml:space="preserve"> </w:t>
      </w:r>
      <w:r w:rsidRPr="00501B2D">
        <w:rPr>
          <w:rFonts w:ascii="Alef" w:hAnsi="Alef" w:cs="Alef" w:hint="eastAsia"/>
          <w:rtl/>
        </w:rPr>
        <w:t>הרגולציה</w:t>
      </w:r>
      <w:r w:rsidRPr="00501B2D">
        <w:rPr>
          <w:rFonts w:ascii="Alef" w:hAnsi="Alef" w:cs="Alef"/>
          <w:rtl/>
        </w:rPr>
        <w:t xml:space="preserve"> </w:t>
      </w:r>
      <w:r w:rsidRPr="00501B2D">
        <w:rPr>
          <w:rFonts w:ascii="Alef" w:hAnsi="Alef" w:cs="Alef" w:hint="eastAsia"/>
          <w:rtl/>
        </w:rPr>
        <w:t>בישראל</w:t>
      </w:r>
      <w:r w:rsidRPr="00501B2D">
        <w:rPr>
          <w:rFonts w:ascii="Alef" w:hAnsi="Alef" w:cs="Alef"/>
          <w:rtl/>
        </w:rPr>
        <w:t xml:space="preserve"> </w:t>
      </w:r>
      <w:r w:rsidRPr="00501B2D">
        <w:rPr>
          <w:rFonts w:ascii="Alef" w:hAnsi="Alef" w:cs="Alef" w:hint="eastAsia"/>
          <w:rtl/>
        </w:rPr>
        <w:t>מרגולציה</w:t>
      </w:r>
      <w:r w:rsidRPr="00501B2D">
        <w:rPr>
          <w:rFonts w:ascii="Alef" w:hAnsi="Alef" w:cs="Alef"/>
          <w:rtl/>
        </w:rPr>
        <w:t xml:space="preserve"> </w:t>
      </w:r>
      <w:r w:rsidRPr="00501B2D">
        <w:rPr>
          <w:rFonts w:ascii="Alef" w:hAnsi="Alef" w:cs="Alef" w:hint="eastAsia"/>
          <w:rtl/>
        </w:rPr>
        <w:t>מתגוננת</w:t>
      </w:r>
      <w:r w:rsidRPr="00501B2D">
        <w:rPr>
          <w:rFonts w:ascii="Alef" w:hAnsi="Alef" w:cs="Alef"/>
          <w:rtl/>
        </w:rPr>
        <w:t xml:space="preserve"> </w:t>
      </w:r>
      <w:r w:rsidRPr="00501B2D">
        <w:rPr>
          <w:rFonts w:ascii="Alef" w:hAnsi="Alef" w:cs="Alef" w:hint="eastAsia"/>
          <w:rtl/>
        </w:rPr>
        <w:t>שמעכבת</w:t>
      </w:r>
      <w:r w:rsidRPr="00501B2D">
        <w:rPr>
          <w:rFonts w:ascii="Alef" w:hAnsi="Alef" w:cs="Alef"/>
          <w:rtl/>
        </w:rPr>
        <w:t xml:space="preserve"> </w:t>
      </w:r>
      <w:r w:rsidRPr="00501B2D">
        <w:rPr>
          <w:rFonts w:ascii="Alef" w:hAnsi="Alef" w:cs="Alef" w:hint="eastAsia"/>
          <w:rtl/>
        </w:rPr>
        <w:t>את</w:t>
      </w:r>
      <w:r w:rsidRPr="00501B2D">
        <w:rPr>
          <w:rFonts w:ascii="Alef" w:hAnsi="Alef" w:cs="Alef"/>
          <w:rtl/>
        </w:rPr>
        <w:t xml:space="preserve"> </w:t>
      </w:r>
      <w:r w:rsidRPr="00501B2D">
        <w:rPr>
          <w:rFonts w:ascii="Alef" w:hAnsi="Alef" w:cs="Alef" w:hint="eastAsia"/>
          <w:rtl/>
        </w:rPr>
        <w:t>פעילות</w:t>
      </w:r>
      <w:r w:rsidRPr="00501B2D">
        <w:rPr>
          <w:rFonts w:ascii="Alef" w:hAnsi="Alef" w:cs="Alef"/>
          <w:rtl/>
        </w:rPr>
        <w:t xml:space="preserve"> </w:t>
      </w:r>
      <w:r w:rsidRPr="00501B2D">
        <w:rPr>
          <w:rFonts w:ascii="Alef" w:hAnsi="Alef" w:cs="Alef" w:hint="eastAsia"/>
          <w:rtl/>
        </w:rPr>
        <w:t>השוק</w:t>
      </w:r>
      <w:r w:rsidRPr="00501B2D">
        <w:rPr>
          <w:rFonts w:ascii="Alef" w:hAnsi="Alef" w:cs="Alef"/>
          <w:rtl/>
        </w:rPr>
        <w:t xml:space="preserve"> </w:t>
      </w:r>
      <w:r w:rsidRPr="00501B2D">
        <w:rPr>
          <w:rFonts w:ascii="Alef" w:hAnsi="Alef" w:cs="Alef" w:hint="eastAsia"/>
          <w:rtl/>
        </w:rPr>
        <w:t>לרגולציה</w:t>
      </w:r>
      <w:r w:rsidRPr="00501B2D">
        <w:rPr>
          <w:rFonts w:ascii="Alef" w:hAnsi="Alef" w:cs="Alef"/>
          <w:rtl/>
        </w:rPr>
        <w:t xml:space="preserve"> </w:t>
      </w:r>
      <w:r w:rsidRPr="00501B2D">
        <w:rPr>
          <w:rFonts w:ascii="Alef" w:hAnsi="Alef" w:cs="Alef" w:hint="eastAsia"/>
          <w:rtl/>
        </w:rPr>
        <w:t>חכמה</w:t>
      </w:r>
      <w:r w:rsidRPr="00501B2D">
        <w:rPr>
          <w:rFonts w:ascii="Alef" w:hAnsi="Alef" w:cs="Alef"/>
          <w:rtl/>
        </w:rPr>
        <w:t xml:space="preserve"> </w:t>
      </w:r>
      <w:r w:rsidRPr="00501B2D">
        <w:rPr>
          <w:rFonts w:ascii="Alef" w:hAnsi="Alef" w:cs="Alef" w:hint="eastAsia"/>
          <w:rtl/>
        </w:rPr>
        <w:t>שמאפשרת</w:t>
      </w:r>
      <w:r w:rsidRPr="00501B2D">
        <w:rPr>
          <w:rFonts w:ascii="Alef" w:hAnsi="Alef" w:cs="Alef"/>
          <w:rtl/>
        </w:rPr>
        <w:t xml:space="preserve"> </w:t>
      </w:r>
      <w:r w:rsidRPr="00501B2D">
        <w:rPr>
          <w:rFonts w:ascii="Alef" w:hAnsi="Alef" w:cs="Alef" w:hint="eastAsia"/>
          <w:rtl/>
        </w:rPr>
        <w:t>את</w:t>
      </w:r>
      <w:r w:rsidRPr="00501B2D">
        <w:rPr>
          <w:rFonts w:ascii="Alef" w:hAnsi="Alef" w:cs="Alef"/>
          <w:rtl/>
        </w:rPr>
        <w:t xml:space="preserve"> </w:t>
      </w:r>
      <w:r w:rsidRPr="00501B2D">
        <w:rPr>
          <w:rFonts w:ascii="Alef" w:hAnsi="Alef" w:cs="Alef" w:hint="eastAsia"/>
          <w:rtl/>
        </w:rPr>
        <w:t>התפתחותו</w:t>
      </w:r>
      <w:r w:rsidRPr="00501B2D">
        <w:rPr>
          <w:rFonts w:ascii="Alef" w:hAnsi="Alef" w:cs="Alef"/>
          <w:rtl/>
        </w:rPr>
        <w:t>.</w:t>
      </w:r>
    </w:p>
    <w:p w14:paraId="4393E3DD" w14:textId="0400FF39" w:rsidR="00000F5C" w:rsidRPr="00501B2D" w:rsidRDefault="00000F5C" w:rsidP="00E30BCE">
      <w:pPr>
        <w:spacing w:before="120"/>
        <w:rPr>
          <w:rFonts w:ascii="Alef" w:hAnsi="Alef" w:cs="Alef"/>
        </w:rPr>
      </w:pPr>
      <w:r w:rsidRPr="00501B2D">
        <w:rPr>
          <w:rFonts w:ascii="Alef" w:hAnsi="Alef" w:cs="Alef" w:hint="eastAsia"/>
          <w:rtl/>
        </w:rPr>
        <w:lastRenderedPageBreak/>
        <w:t>הנדבך</w:t>
      </w:r>
      <w:r w:rsidRPr="00501B2D">
        <w:rPr>
          <w:rFonts w:ascii="Alef" w:hAnsi="Alef" w:cs="Alef"/>
          <w:rtl/>
        </w:rPr>
        <w:t xml:space="preserve"> </w:t>
      </w:r>
      <w:r w:rsidRPr="00501B2D">
        <w:rPr>
          <w:rFonts w:ascii="Alef" w:hAnsi="Alef" w:cs="Alef" w:hint="eastAsia"/>
          <w:rtl/>
        </w:rPr>
        <w:t>המרכזי</w:t>
      </w:r>
      <w:r w:rsidRPr="00501B2D">
        <w:rPr>
          <w:rFonts w:ascii="Alef" w:hAnsi="Alef" w:cs="Alef"/>
          <w:rtl/>
        </w:rPr>
        <w:t xml:space="preserve"> </w:t>
      </w:r>
      <w:r w:rsidRPr="00501B2D">
        <w:rPr>
          <w:rFonts w:ascii="Alef" w:hAnsi="Alef" w:cs="Alef" w:hint="eastAsia"/>
          <w:rtl/>
        </w:rPr>
        <w:t>ב</w:t>
      </w:r>
      <w:r w:rsidRPr="00501B2D">
        <w:rPr>
          <w:rFonts w:ascii="Alef" w:hAnsi="Alef" w:cs="Alef"/>
          <w:rtl/>
        </w:rPr>
        <w:t xml:space="preserve">דרך להפיכת יוזמת הדה רגולציה להצלחה היא באמצעות קביעת עקרונות מנחים ברורים למשרדי הממשלה ולרגולטורים </w:t>
      </w:r>
      <w:r w:rsidRPr="00501B2D">
        <w:rPr>
          <w:rFonts w:ascii="Alef" w:hAnsi="Alef" w:cs="Alef" w:hint="eastAsia"/>
          <w:rtl/>
        </w:rPr>
        <w:t>שיהפכו</w:t>
      </w:r>
      <w:r w:rsidRPr="00501B2D">
        <w:rPr>
          <w:rFonts w:ascii="Alef" w:hAnsi="Alef" w:cs="Alef"/>
          <w:rtl/>
        </w:rPr>
        <w:t xml:space="preserve"> </w:t>
      </w:r>
      <w:r w:rsidRPr="00501B2D">
        <w:rPr>
          <w:rFonts w:ascii="Alef" w:hAnsi="Alef" w:cs="Alef" w:hint="eastAsia"/>
          <w:rtl/>
        </w:rPr>
        <w:t>את</w:t>
      </w:r>
      <w:r w:rsidRPr="00501B2D">
        <w:rPr>
          <w:rFonts w:ascii="Alef" w:hAnsi="Alef" w:cs="Alef"/>
          <w:rtl/>
        </w:rPr>
        <w:t xml:space="preserve"> הרגולציה </w:t>
      </w:r>
      <w:r w:rsidRPr="00501B2D">
        <w:rPr>
          <w:rFonts w:ascii="Alef" w:hAnsi="Alef" w:cs="Alef" w:hint="eastAsia"/>
          <w:rtl/>
        </w:rPr>
        <w:t>הנקבעת</w:t>
      </w:r>
      <w:r w:rsidRPr="00501B2D">
        <w:rPr>
          <w:rFonts w:ascii="Alef" w:hAnsi="Alef" w:cs="Alef"/>
          <w:rtl/>
        </w:rPr>
        <w:t xml:space="preserve"> </w:t>
      </w:r>
      <w:r w:rsidRPr="00501B2D">
        <w:rPr>
          <w:rFonts w:ascii="Alef" w:hAnsi="Alef" w:cs="Alef" w:hint="eastAsia"/>
          <w:rtl/>
        </w:rPr>
        <w:t>על</w:t>
      </w:r>
      <w:r w:rsidRPr="00501B2D">
        <w:rPr>
          <w:rFonts w:ascii="Alef" w:hAnsi="Alef" w:cs="Alef"/>
          <w:rtl/>
        </w:rPr>
        <w:t xml:space="preserve"> </w:t>
      </w:r>
      <w:r w:rsidRPr="00501B2D">
        <w:rPr>
          <w:rFonts w:ascii="Alef" w:hAnsi="Alef" w:cs="Alef" w:hint="eastAsia"/>
          <w:rtl/>
        </w:rPr>
        <w:t>ידם</w:t>
      </w:r>
      <w:r w:rsidRPr="00501B2D">
        <w:rPr>
          <w:rFonts w:ascii="Alef" w:hAnsi="Alef" w:cs="Alef"/>
          <w:rtl/>
        </w:rPr>
        <w:t xml:space="preserve"> לחכמה וממוקדת. בהעדר עקרונות ברורים וחדים כאלה, ובראשם הע</w:t>
      </w:r>
      <w:r w:rsidRPr="00501B2D">
        <w:rPr>
          <w:rFonts w:ascii="Alef" w:hAnsi="Alef" w:cs="Alef" w:hint="eastAsia"/>
          <w:rtl/>
        </w:rPr>
        <w:t>י</w:t>
      </w:r>
      <w:r w:rsidRPr="00501B2D">
        <w:rPr>
          <w:rFonts w:ascii="Alef" w:hAnsi="Alef" w:cs="Alef"/>
          <w:rtl/>
        </w:rPr>
        <w:t xml:space="preserve">קרון כי יש לשקול את עלויות הציות לרגולציה ושיקולים של קידום תחרות. </w:t>
      </w:r>
    </w:p>
    <w:p w14:paraId="0AF5154B" w14:textId="77777777" w:rsidR="00383257" w:rsidRDefault="00693D98" w:rsidP="00F44555">
      <w:pPr>
        <w:tabs>
          <w:tab w:val="left" w:pos="5618"/>
        </w:tabs>
        <w:spacing w:before="240"/>
        <w:ind w:left="1927"/>
        <w:jc w:val="center"/>
        <w:rPr>
          <w:rFonts w:ascii="Alef" w:hAnsi="Alef" w:cs="Alef"/>
          <w:rtl/>
          <w:lang w:eastAsia="he-IL"/>
        </w:rPr>
      </w:pPr>
      <w:r>
        <w:rPr>
          <w:rFonts w:ascii="Alef" w:hAnsi="Alef" w:cs="Alef"/>
          <w:rtl/>
          <w:lang w:eastAsia="he-IL"/>
        </w:rPr>
        <w:tab/>
      </w:r>
    </w:p>
    <w:p w14:paraId="2A49AF32" w14:textId="0B63B3CA" w:rsidR="00766713" w:rsidRDefault="00766713" w:rsidP="00F44555">
      <w:pPr>
        <w:tabs>
          <w:tab w:val="left" w:pos="5618"/>
        </w:tabs>
        <w:spacing w:before="240"/>
        <w:ind w:left="1927"/>
        <w:jc w:val="center"/>
        <w:rPr>
          <w:rFonts w:ascii="Alef" w:hAnsi="Alef" w:cs="Alef"/>
          <w:rtl/>
        </w:rPr>
      </w:pPr>
      <w:r w:rsidRPr="00903A30">
        <w:rPr>
          <w:rFonts w:ascii="Alef" w:hAnsi="Alef" w:cs="Alef"/>
          <w:rtl/>
        </w:rPr>
        <w:tab/>
      </w:r>
      <w:r w:rsidRPr="00903A30">
        <w:rPr>
          <w:rFonts w:ascii="Alef" w:hAnsi="Alef" w:cs="Alef"/>
          <w:rtl/>
        </w:rPr>
        <w:tab/>
      </w:r>
      <w:r w:rsidRPr="00903A30">
        <w:rPr>
          <w:rFonts w:ascii="Alef" w:hAnsi="Alef" w:cs="Alef"/>
          <w:rtl/>
        </w:rPr>
        <w:tab/>
        <w:t xml:space="preserve">                                                                    בכבוד רב ובברכה, </w:t>
      </w:r>
    </w:p>
    <w:p w14:paraId="64BDA112" w14:textId="77777777" w:rsidR="00F44555" w:rsidRPr="00903A30" w:rsidRDefault="00F44555" w:rsidP="00F44555">
      <w:pPr>
        <w:tabs>
          <w:tab w:val="left" w:pos="5618"/>
        </w:tabs>
        <w:spacing w:before="240"/>
        <w:ind w:left="1927"/>
        <w:jc w:val="center"/>
        <w:rPr>
          <w:rFonts w:ascii="Alef" w:hAnsi="Alef" w:cs="Alef"/>
          <w:rtl/>
        </w:rPr>
      </w:pPr>
    </w:p>
    <w:p w14:paraId="1F71EF5A" w14:textId="21B63FFD" w:rsidR="00766713" w:rsidRPr="00903A30" w:rsidRDefault="00766713" w:rsidP="00F44555">
      <w:pPr>
        <w:tabs>
          <w:tab w:val="left" w:pos="5618"/>
        </w:tabs>
        <w:spacing w:before="240"/>
        <w:ind w:left="1927"/>
        <w:jc w:val="center"/>
        <w:rPr>
          <w:rFonts w:ascii="Alef" w:hAnsi="Alef" w:cs="Alef"/>
          <w:rtl/>
        </w:rPr>
      </w:pPr>
      <w:r w:rsidRPr="00903A30">
        <w:rPr>
          <w:rFonts w:ascii="Alef" w:hAnsi="Alef" w:cs="Alef"/>
          <w:rtl/>
        </w:rPr>
        <w:t xml:space="preserve">         </w:t>
      </w:r>
      <w:r w:rsidR="00F44555">
        <w:rPr>
          <w:rFonts w:ascii="Alef" w:hAnsi="Alef" w:cs="Alef" w:hint="cs"/>
          <w:rtl/>
        </w:rPr>
        <w:t xml:space="preserve">                    </w:t>
      </w:r>
      <w:r w:rsidRPr="00903A30">
        <w:rPr>
          <w:rFonts w:ascii="Alef" w:hAnsi="Alef" w:cs="Alef"/>
          <w:rtl/>
        </w:rPr>
        <w:t xml:space="preserve">מיכל </w:t>
      </w:r>
      <w:r w:rsidR="004B3E34">
        <w:rPr>
          <w:rFonts w:ascii="Alef" w:hAnsi="Alef" w:cs="Alef" w:hint="cs"/>
          <w:rtl/>
        </w:rPr>
        <w:t>כהן</w:t>
      </w:r>
    </w:p>
    <w:p w14:paraId="76ACB47F" w14:textId="18C125F7" w:rsidR="00766713" w:rsidRPr="00903A30" w:rsidRDefault="004B3E34" w:rsidP="00383257">
      <w:pPr>
        <w:tabs>
          <w:tab w:val="left" w:pos="5618"/>
        </w:tabs>
        <w:spacing w:before="240"/>
        <w:ind w:left="1927"/>
        <w:rPr>
          <w:rFonts w:ascii="Alef" w:hAnsi="Alef" w:cs="Alef"/>
        </w:rPr>
      </w:pPr>
      <w:r>
        <w:rPr>
          <w:rFonts w:ascii="Alef" w:hAnsi="Alef" w:cs="Alef" w:hint="cs"/>
          <w:rtl/>
        </w:rPr>
        <w:t xml:space="preserve">                       </w:t>
      </w:r>
      <w:r w:rsidR="00766713">
        <w:rPr>
          <w:rFonts w:ascii="Alef" w:hAnsi="Alef" w:cs="Alef"/>
          <w:rtl/>
        </w:rPr>
        <w:t xml:space="preserve">                </w:t>
      </w:r>
      <w:r w:rsidR="00766713" w:rsidRPr="00903A30">
        <w:rPr>
          <w:rFonts w:ascii="Alef" w:hAnsi="Alef" w:cs="Alef"/>
          <w:rtl/>
        </w:rPr>
        <w:t xml:space="preserve"> </w:t>
      </w:r>
      <w:r>
        <w:rPr>
          <w:rFonts w:ascii="Alef" w:hAnsi="Alef" w:cs="Alef" w:hint="cs"/>
          <w:rtl/>
        </w:rPr>
        <w:t xml:space="preserve">ממלאת מקום </w:t>
      </w:r>
      <w:r w:rsidR="00766713" w:rsidRPr="00903A30">
        <w:rPr>
          <w:rFonts w:ascii="Alef" w:hAnsi="Alef" w:cs="Alef"/>
          <w:rtl/>
        </w:rPr>
        <w:t>הממונה על התחרות</w:t>
      </w:r>
    </w:p>
    <w:p w14:paraId="5A956824" w14:textId="4E64B2E8" w:rsidR="00766713" w:rsidRDefault="00766713" w:rsidP="004B3E34">
      <w:pPr>
        <w:tabs>
          <w:tab w:val="left" w:pos="5618"/>
        </w:tabs>
        <w:spacing w:before="240"/>
        <w:ind w:left="360"/>
        <w:jc w:val="center"/>
        <w:rPr>
          <w:rFonts w:ascii="Alef" w:hAnsi="Alef" w:cs="Alef"/>
          <w:rtl/>
        </w:rPr>
      </w:pPr>
    </w:p>
    <w:p w14:paraId="5CF0D90C" w14:textId="2DEF314E" w:rsidR="00791548" w:rsidRDefault="00791548" w:rsidP="00766713">
      <w:pPr>
        <w:spacing w:line="240" w:lineRule="auto"/>
        <w:ind w:left="720"/>
        <w:rPr>
          <w:rFonts w:ascii="Alef" w:hAnsi="Alef" w:cs="Alef"/>
          <w:rtl/>
        </w:rPr>
      </w:pPr>
    </w:p>
    <w:p w14:paraId="4C546575" w14:textId="0CAC5917" w:rsidR="00791548" w:rsidRDefault="00791548" w:rsidP="00766713">
      <w:pPr>
        <w:spacing w:line="240" w:lineRule="auto"/>
        <w:ind w:left="720"/>
        <w:rPr>
          <w:rFonts w:ascii="Alef" w:hAnsi="Alef" w:cs="Alef"/>
          <w:rtl/>
        </w:rPr>
      </w:pPr>
    </w:p>
    <w:p w14:paraId="10AEDB32" w14:textId="576C30E2" w:rsidR="00791548" w:rsidRDefault="00791548" w:rsidP="00766713">
      <w:pPr>
        <w:spacing w:line="240" w:lineRule="auto"/>
        <w:ind w:left="720"/>
        <w:rPr>
          <w:rFonts w:ascii="Alef" w:hAnsi="Alef" w:cs="Alef"/>
          <w:rtl/>
        </w:rPr>
      </w:pPr>
    </w:p>
    <w:p w14:paraId="05ABF169" w14:textId="26120DDF" w:rsidR="00791548" w:rsidRDefault="00791548" w:rsidP="00766713">
      <w:pPr>
        <w:spacing w:line="240" w:lineRule="auto"/>
        <w:ind w:left="720"/>
        <w:rPr>
          <w:rFonts w:ascii="Alef" w:hAnsi="Alef" w:cs="Alef"/>
          <w:rtl/>
        </w:rPr>
      </w:pPr>
    </w:p>
    <w:p w14:paraId="615EABBE" w14:textId="1B006B05" w:rsidR="00791548" w:rsidRDefault="00791548" w:rsidP="00766713">
      <w:pPr>
        <w:spacing w:line="240" w:lineRule="auto"/>
        <w:ind w:left="720"/>
        <w:rPr>
          <w:rFonts w:ascii="Alef" w:hAnsi="Alef" w:cs="Alef"/>
          <w:rtl/>
        </w:rPr>
      </w:pPr>
    </w:p>
    <w:p w14:paraId="09712BA2" w14:textId="60EB95F6" w:rsidR="00791548" w:rsidRDefault="00791548" w:rsidP="00766713">
      <w:pPr>
        <w:spacing w:line="240" w:lineRule="auto"/>
        <w:ind w:left="720"/>
        <w:rPr>
          <w:rFonts w:ascii="Alef" w:hAnsi="Alef" w:cs="Alef"/>
          <w:rtl/>
        </w:rPr>
      </w:pPr>
    </w:p>
    <w:p w14:paraId="7DE81815" w14:textId="455E0D35" w:rsidR="00791548" w:rsidRPr="00903A30" w:rsidRDefault="00791548" w:rsidP="00766713">
      <w:pPr>
        <w:spacing w:line="240" w:lineRule="auto"/>
        <w:ind w:left="720"/>
        <w:rPr>
          <w:rFonts w:ascii="Alef" w:hAnsi="Alef" w:cs="Alef"/>
          <w:rtl/>
        </w:rPr>
      </w:pPr>
    </w:p>
    <w:p w14:paraId="214E178D" w14:textId="77777777" w:rsidR="00383257" w:rsidRDefault="00383257" w:rsidP="00766713">
      <w:pPr>
        <w:spacing w:line="240" w:lineRule="auto"/>
        <w:ind w:left="720"/>
        <w:rPr>
          <w:rFonts w:ascii="Alef" w:hAnsi="Alef" w:cs="Alef"/>
          <w:u w:val="single"/>
          <w:rtl/>
        </w:rPr>
      </w:pPr>
    </w:p>
    <w:p w14:paraId="786BB1BE" w14:textId="77777777" w:rsidR="00383257" w:rsidRDefault="00383257" w:rsidP="00766713">
      <w:pPr>
        <w:spacing w:line="240" w:lineRule="auto"/>
        <w:ind w:left="720"/>
        <w:rPr>
          <w:rFonts w:ascii="Alef" w:hAnsi="Alef" w:cs="Alef"/>
          <w:u w:val="single"/>
          <w:rtl/>
        </w:rPr>
      </w:pPr>
    </w:p>
    <w:p w14:paraId="6B967587" w14:textId="77777777" w:rsidR="00383257" w:rsidRDefault="00383257" w:rsidP="00766713">
      <w:pPr>
        <w:spacing w:line="240" w:lineRule="auto"/>
        <w:ind w:left="720"/>
        <w:rPr>
          <w:rFonts w:ascii="Alef" w:hAnsi="Alef" w:cs="Alef"/>
          <w:u w:val="single"/>
          <w:rtl/>
        </w:rPr>
      </w:pPr>
    </w:p>
    <w:p w14:paraId="15CB2FB0" w14:textId="77777777" w:rsidR="00383257" w:rsidRDefault="00383257" w:rsidP="00766713">
      <w:pPr>
        <w:spacing w:line="240" w:lineRule="auto"/>
        <w:ind w:left="720"/>
        <w:rPr>
          <w:rFonts w:ascii="Alef" w:hAnsi="Alef" w:cs="Alef"/>
          <w:u w:val="single"/>
          <w:rtl/>
        </w:rPr>
      </w:pPr>
    </w:p>
    <w:p w14:paraId="6FD5C9D9" w14:textId="77777777" w:rsidR="00383257" w:rsidRDefault="00383257" w:rsidP="00766713">
      <w:pPr>
        <w:spacing w:line="240" w:lineRule="auto"/>
        <w:ind w:left="720"/>
        <w:rPr>
          <w:rFonts w:ascii="Alef" w:hAnsi="Alef" w:cs="Alef"/>
          <w:u w:val="single"/>
          <w:rtl/>
        </w:rPr>
      </w:pPr>
    </w:p>
    <w:p w14:paraId="66D50F7F" w14:textId="77777777" w:rsidR="00383257" w:rsidRDefault="00383257" w:rsidP="00766713">
      <w:pPr>
        <w:spacing w:line="240" w:lineRule="auto"/>
        <w:ind w:left="720"/>
        <w:rPr>
          <w:rFonts w:ascii="Alef" w:hAnsi="Alef" w:cs="Alef"/>
          <w:u w:val="single"/>
          <w:rtl/>
        </w:rPr>
      </w:pPr>
    </w:p>
    <w:p w14:paraId="46AAC3D7" w14:textId="77777777" w:rsidR="00383257" w:rsidRDefault="00383257" w:rsidP="00766713">
      <w:pPr>
        <w:spacing w:line="240" w:lineRule="auto"/>
        <w:ind w:left="720"/>
        <w:rPr>
          <w:rFonts w:ascii="Alef" w:hAnsi="Alef" w:cs="Alef"/>
          <w:u w:val="single"/>
          <w:rtl/>
        </w:rPr>
      </w:pPr>
    </w:p>
    <w:p w14:paraId="2EDFCC34" w14:textId="77777777" w:rsidR="00383257" w:rsidRDefault="00383257" w:rsidP="00766713">
      <w:pPr>
        <w:spacing w:line="240" w:lineRule="auto"/>
        <w:ind w:left="720"/>
        <w:rPr>
          <w:rFonts w:ascii="Alef" w:hAnsi="Alef" w:cs="Alef"/>
          <w:u w:val="single"/>
          <w:rtl/>
        </w:rPr>
      </w:pPr>
    </w:p>
    <w:p w14:paraId="4F3117EC" w14:textId="77777777" w:rsidR="00383257" w:rsidRDefault="00383257" w:rsidP="00766713">
      <w:pPr>
        <w:spacing w:line="240" w:lineRule="auto"/>
        <w:ind w:left="720"/>
        <w:rPr>
          <w:rFonts w:ascii="Alef" w:hAnsi="Alef" w:cs="Alef"/>
          <w:u w:val="single"/>
          <w:rtl/>
        </w:rPr>
      </w:pPr>
    </w:p>
    <w:p w14:paraId="3C20A783" w14:textId="77777777" w:rsidR="00383257" w:rsidRDefault="00383257" w:rsidP="00766713">
      <w:pPr>
        <w:spacing w:line="240" w:lineRule="auto"/>
        <w:ind w:left="720"/>
        <w:rPr>
          <w:rFonts w:ascii="Alef" w:hAnsi="Alef" w:cs="Alef"/>
          <w:u w:val="single"/>
          <w:rtl/>
        </w:rPr>
      </w:pPr>
    </w:p>
    <w:p w14:paraId="01A89F71" w14:textId="7A08BBFC" w:rsidR="00EA0802" w:rsidRPr="005348F4" w:rsidRDefault="00EA0802" w:rsidP="00766713">
      <w:pPr>
        <w:spacing w:line="240" w:lineRule="auto"/>
        <w:ind w:left="720"/>
        <w:rPr>
          <w:rFonts w:ascii="Alef" w:hAnsi="Alef" w:cs="Alef"/>
          <w:u w:val="single"/>
          <w:rtl/>
        </w:rPr>
      </w:pPr>
      <w:r w:rsidRPr="005348F4">
        <w:rPr>
          <w:rFonts w:ascii="Alef" w:hAnsi="Alef" w:cs="Alef" w:hint="cs"/>
          <w:u w:val="single"/>
          <w:rtl/>
        </w:rPr>
        <w:t xml:space="preserve">נספח א' </w:t>
      </w:r>
      <w:r w:rsidR="005B4426" w:rsidRPr="005348F4">
        <w:rPr>
          <w:rFonts w:ascii="Alef" w:hAnsi="Alef" w:cs="Alef"/>
          <w:u w:val="single"/>
          <w:rtl/>
        </w:rPr>
        <w:t>–</w:t>
      </w:r>
      <w:r w:rsidRPr="005348F4">
        <w:rPr>
          <w:rFonts w:ascii="Alef" w:hAnsi="Alef" w:cs="Alef" w:hint="cs"/>
          <w:u w:val="single"/>
          <w:rtl/>
        </w:rPr>
        <w:t xml:space="preserve"> </w:t>
      </w:r>
      <w:r w:rsidR="005B4426" w:rsidRPr="005348F4">
        <w:rPr>
          <w:rFonts w:ascii="Alef" w:hAnsi="Alef" w:cs="Alef" w:hint="cs"/>
          <w:u w:val="single"/>
          <w:rtl/>
        </w:rPr>
        <w:t xml:space="preserve">מגמות שינויים במחירי קניה ומכירה </w:t>
      </w:r>
      <w:r w:rsidR="009E70B9">
        <w:rPr>
          <w:rFonts w:ascii="Alef" w:hAnsi="Alef" w:cs="Alef" w:hint="cs"/>
          <w:u w:val="single"/>
          <w:rtl/>
        </w:rPr>
        <w:t xml:space="preserve">של קמעונאי מזון </w:t>
      </w:r>
      <w:r w:rsidR="005B4426" w:rsidRPr="005348F4">
        <w:rPr>
          <w:rFonts w:ascii="Alef" w:hAnsi="Alef" w:cs="Alef" w:hint="cs"/>
          <w:u w:val="single"/>
          <w:rtl/>
        </w:rPr>
        <w:t>בירקות ופירות</w:t>
      </w:r>
      <w:r w:rsidR="00CD583C">
        <w:rPr>
          <w:rFonts w:ascii="Alef" w:hAnsi="Alef" w:cs="Alef" w:hint="cs"/>
          <w:u w:val="single"/>
          <w:rtl/>
        </w:rPr>
        <w:t>, 2017-2018</w:t>
      </w:r>
    </w:p>
    <w:p w14:paraId="61E44151" w14:textId="01E30767" w:rsidR="005B4426" w:rsidRDefault="005B4426" w:rsidP="00766713">
      <w:pPr>
        <w:spacing w:line="240" w:lineRule="auto"/>
        <w:ind w:left="720"/>
        <w:rPr>
          <w:rFonts w:ascii="Alef" w:hAnsi="Alef" w:cs="Alef"/>
          <w:rtl/>
        </w:rPr>
      </w:pPr>
    </w:p>
    <w:p w14:paraId="51D28F0F" w14:textId="77777777" w:rsidR="007C7185" w:rsidRDefault="00AA7231" w:rsidP="00AA7231">
      <w:pPr>
        <w:spacing w:line="240" w:lineRule="auto"/>
        <w:ind w:left="720"/>
        <w:rPr>
          <w:rFonts w:ascii="Alef" w:hAnsi="Alef" w:cs="Alef"/>
          <w:rtl/>
        </w:rPr>
      </w:pPr>
      <w:r>
        <w:rPr>
          <w:noProof/>
        </w:rPr>
        <w:drawing>
          <wp:inline distT="0" distB="0" distL="0" distR="0" wp14:anchorId="0039690A" wp14:editId="5E22BE1B">
            <wp:extent cx="4394200" cy="2695575"/>
            <wp:effectExtent l="0" t="0" r="6350" b="9525"/>
            <wp:docPr id="1045" name="תרשים 104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noProof/>
        </w:rPr>
        <w:drawing>
          <wp:inline distT="0" distB="0" distL="0" distR="0" wp14:anchorId="739A425D" wp14:editId="22152614">
            <wp:extent cx="4394200" cy="2695575"/>
            <wp:effectExtent l="0" t="0" r="6350" b="9525"/>
            <wp:docPr id="1046" name="תרשים 104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D9FAAE5" w14:textId="538AEA08" w:rsidR="005B4426" w:rsidRPr="00903A30" w:rsidRDefault="00AA7231" w:rsidP="00AA7231">
      <w:pPr>
        <w:spacing w:line="240" w:lineRule="auto"/>
        <w:ind w:left="720"/>
        <w:rPr>
          <w:rFonts w:ascii="Alef" w:hAnsi="Alef" w:cs="Alef"/>
        </w:rPr>
      </w:pPr>
      <w:r>
        <w:rPr>
          <w:noProof/>
        </w:rPr>
        <w:lastRenderedPageBreak/>
        <w:drawing>
          <wp:inline distT="0" distB="0" distL="0" distR="0" wp14:anchorId="59757369" wp14:editId="20629F2A">
            <wp:extent cx="4394200" cy="2695575"/>
            <wp:effectExtent l="0" t="0" r="6350" b="9525"/>
            <wp:docPr id="1047" name="תרשים 104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noProof/>
        </w:rPr>
        <w:drawing>
          <wp:inline distT="0" distB="0" distL="0" distR="0" wp14:anchorId="747A6E13" wp14:editId="0280D631">
            <wp:extent cx="4419600" cy="2695575"/>
            <wp:effectExtent l="0" t="0" r="0" b="9525"/>
            <wp:docPr id="1048" name="תרשים 104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noProof/>
        </w:rPr>
        <w:drawing>
          <wp:inline distT="0" distB="0" distL="0" distR="0" wp14:anchorId="33E34A9C" wp14:editId="23A5D7AA">
            <wp:extent cx="4419600" cy="2695575"/>
            <wp:effectExtent l="0" t="0" r="0" b="9525"/>
            <wp:docPr id="1049" name="תרשים 104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noProof/>
        </w:rPr>
        <w:lastRenderedPageBreak/>
        <w:drawing>
          <wp:inline distT="0" distB="0" distL="0" distR="0" wp14:anchorId="148D3259" wp14:editId="3400E20C">
            <wp:extent cx="4419600" cy="2695575"/>
            <wp:effectExtent l="0" t="0" r="0" b="9525"/>
            <wp:docPr id="1050" name="תרשים 105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Pr>
          <w:noProof/>
        </w:rPr>
        <w:drawing>
          <wp:inline distT="0" distB="0" distL="0" distR="0" wp14:anchorId="02276212" wp14:editId="20ECC1ED">
            <wp:extent cx="4419600" cy="2695575"/>
            <wp:effectExtent l="0" t="0" r="0" b="9525"/>
            <wp:docPr id="1051" name="תרשים 105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noProof/>
        </w:rPr>
        <w:drawing>
          <wp:inline distT="0" distB="0" distL="0" distR="0" wp14:anchorId="531B98D2" wp14:editId="46FD9F67">
            <wp:extent cx="4419600" cy="2695575"/>
            <wp:effectExtent l="0" t="0" r="0" b="9525"/>
            <wp:docPr id="1053" name="תרשים 105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noProof/>
        </w:rPr>
        <w:lastRenderedPageBreak/>
        <w:drawing>
          <wp:inline distT="0" distB="0" distL="0" distR="0" wp14:anchorId="1A44B71B" wp14:editId="0AD90943">
            <wp:extent cx="4419600" cy="2695575"/>
            <wp:effectExtent l="0" t="0" r="0" b="9525"/>
            <wp:docPr id="1054" name="תרשים 105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noProof/>
        </w:rPr>
        <w:drawing>
          <wp:inline distT="0" distB="0" distL="0" distR="0" wp14:anchorId="52677F3D" wp14:editId="434516D2">
            <wp:extent cx="4419600" cy="2695575"/>
            <wp:effectExtent l="0" t="0" r="0" b="9525"/>
            <wp:docPr id="1055" name="תרשים 105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noProof/>
        </w:rPr>
        <w:drawing>
          <wp:inline distT="0" distB="0" distL="0" distR="0" wp14:anchorId="162227E1" wp14:editId="43DD4137">
            <wp:extent cx="4419600" cy="2695575"/>
            <wp:effectExtent l="0" t="0" r="0" b="9525"/>
            <wp:docPr id="1056" name="תרשים 1056"/>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noProof/>
        </w:rPr>
        <w:lastRenderedPageBreak/>
        <w:drawing>
          <wp:inline distT="0" distB="0" distL="0" distR="0" wp14:anchorId="0E10DD6F" wp14:editId="1A1BB605">
            <wp:extent cx="4419600" cy="2695575"/>
            <wp:effectExtent l="0" t="0" r="0" b="9525"/>
            <wp:docPr id="1057" name="תרשים 1057"/>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noProof/>
        </w:rPr>
        <w:drawing>
          <wp:inline distT="0" distB="0" distL="0" distR="0" wp14:anchorId="3161E9F0" wp14:editId="3422ABE5">
            <wp:extent cx="4419600" cy="2695575"/>
            <wp:effectExtent l="0" t="0" r="0" b="9525"/>
            <wp:docPr id="1058" name="תרשים 1058"/>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noProof/>
        </w:rPr>
        <w:lastRenderedPageBreak/>
        <w:drawing>
          <wp:inline distT="0" distB="0" distL="0" distR="0" wp14:anchorId="583F104C" wp14:editId="13D6D6F3">
            <wp:extent cx="4419600" cy="2695575"/>
            <wp:effectExtent l="0" t="0" r="0" b="9525"/>
            <wp:docPr id="1060" name="תרשים 1060"/>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noProof/>
        </w:rPr>
        <w:drawing>
          <wp:inline distT="0" distB="0" distL="0" distR="0" wp14:anchorId="5755E388" wp14:editId="2C4F61A3">
            <wp:extent cx="4419600" cy="2695575"/>
            <wp:effectExtent l="0" t="0" r="0" b="9525"/>
            <wp:docPr id="1061" name="תרשים 106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6D062FD5" w14:textId="7E92AB83" w:rsidR="00766713" w:rsidRPr="00903A30" w:rsidRDefault="00AA7231" w:rsidP="00766713">
      <w:pPr>
        <w:spacing w:line="240" w:lineRule="auto"/>
        <w:ind w:left="720"/>
        <w:rPr>
          <w:rFonts w:ascii="Alef" w:hAnsi="Alef" w:cs="Alef"/>
        </w:rPr>
      </w:pPr>
      <w:r>
        <w:rPr>
          <w:noProof/>
        </w:rPr>
        <w:drawing>
          <wp:inline distT="0" distB="0" distL="0" distR="0" wp14:anchorId="5BCAC79C" wp14:editId="19DE2F0E">
            <wp:extent cx="4419600" cy="2695575"/>
            <wp:effectExtent l="0" t="0" r="0" b="9525"/>
            <wp:docPr id="1063" name="תרשים 1063"/>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2165F644" w14:textId="77777777" w:rsidR="00766713" w:rsidRPr="00903A30" w:rsidRDefault="00766713" w:rsidP="00766713">
      <w:pPr>
        <w:spacing w:line="240" w:lineRule="auto"/>
        <w:ind w:left="720"/>
        <w:rPr>
          <w:rFonts w:ascii="Alef" w:hAnsi="Alef" w:cs="Alef"/>
        </w:rPr>
      </w:pPr>
    </w:p>
    <w:p w14:paraId="5FA55A28" w14:textId="77777777" w:rsidR="00766713" w:rsidRPr="00903A30" w:rsidRDefault="00766713" w:rsidP="00766713">
      <w:pPr>
        <w:spacing w:line="240" w:lineRule="auto"/>
        <w:ind w:left="720"/>
        <w:rPr>
          <w:rFonts w:ascii="Alef" w:hAnsi="Alef" w:cs="Alef"/>
        </w:rPr>
      </w:pPr>
    </w:p>
    <w:p w14:paraId="29AD0E55" w14:textId="77777777" w:rsidR="009C3E69" w:rsidRPr="00211459" w:rsidRDefault="009C3E69" w:rsidP="00211459">
      <w:pPr>
        <w:spacing w:before="120" w:line="276" w:lineRule="auto"/>
        <w:rPr>
          <w:rFonts w:ascii="Alef" w:hAnsi="Alef" w:cs="Alef"/>
          <w:szCs w:val="22"/>
          <w:rtl/>
        </w:rPr>
      </w:pPr>
    </w:p>
    <w:sectPr w:rsidR="009C3E69" w:rsidRPr="00211459" w:rsidSect="00FB731A">
      <w:footerReference w:type="default" r:id="rId34"/>
      <w:headerReference w:type="first" r:id="rId35"/>
      <w:footerReference w:type="first" r:id="rId36"/>
      <w:pgSz w:w="11906" w:h="16838"/>
      <w:pgMar w:top="1440" w:right="1800" w:bottom="993" w:left="1800" w:header="708" w:footer="708"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DDDB3" w14:textId="77777777" w:rsidR="00144518" w:rsidRDefault="00144518" w:rsidP="00D74B48">
      <w:pPr>
        <w:spacing w:after="0" w:line="240" w:lineRule="auto"/>
      </w:pPr>
      <w:r>
        <w:separator/>
      </w:r>
    </w:p>
  </w:endnote>
  <w:endnote w:type="continuationSeparator" w:id="0">
    <w:p w14:paraId="3286B1C3" w14:textId="77777777" w:rsidR="00144518" w:rsidRDefault="00144518" w:rsidP="00D74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lef">
    <w:panose1 w:val="00000500000000000000"/>
    <w:charset w:val="00"/>
    <w:family w:val="auto"/>
    <w:pitch w:val="variable"/>
    <w:sig w:usb0="00000807" w:usb1="40000000" w:usb2="00000000" w:usb3="00000000" w:csb0="000000B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381565298"/>
      <w:docPartObj>
        <w:docPartGallery w:val="Page Numbers (Bottom of Page)"/>
        <w:docPartUnique/>
      </w:docPartObj>
    </w:sdtPr>
    <w:sdtEndPr>
      <w:rPr>
        <w:cs/>
      </w:rPr>
    </w:sdtEndPr>
    <w:sdtContent>
      <w:p w14:paraId="388FD7E4" w14:textId="6D8F98F9" w:rsidR="001F49D9" w:rsidRDefault="001F49D9">
        <w:pPr>
          <w:pStyle w:val="Footer"/>
          <w:jc w:val="center"/>
          <w:rPr>
            <w:rtl/>
            <w:cs/>
          </w:rPr>
        </w:pPr>
        <w:r>
          <w:fldChar w:fldCharType="begin"/>
        </w:r>
        <w:r>
          <w:rPr>
            <w:rtl/>
            <w:cs/>
          </w:rPr>
          <w:instrText>PAGE   \* MERGEFORMAT</w:instrText>
        </w:r>
        <w:r>
          <w:fldChar w:fldCharType="separate"/>
        </w:r>
        <w:r w:rsidR="00383257" w:rsidRPr="00383257">
          <w:rPr>
            <w:noProof/>
            <w:rtl/>
            <w:lang w:val="he-IL"/>
          </w:rPr>
          <w:t>22</w:t>
        </w:r>
        <w:r>
          <w:fldChar w:fldCharType="end"/>
        </w:r>
      </w:p>
    </w:sdtContent>
  </w:sdt>
  <w:p w14:paraId="2B5E2E46" w14:textId="275D1232" w:rsidR="007F7CF6" w:rsidRDefault="007F7CF6">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D66B2" w14:textId="3AB985BE" w:rsidR="007F7CF6" w:rsidRDefault="007F7CF6">
    <w:pPr>
      <w:pStyle w:val="Footer"/>
    </w:pPr>
    <w:r>
      <w:rPr>
        <w:noProof/>
      </w:rPr>
      <w:drawing>
        <wp:anchor distT="0" distB="0" distL="114300" distR="114300" simplePos="0" relativeHeight="251661312" behindDoc="1" locked="0" layoutInCell="1" allowOverlap="1" wp14:anchorId="7A4CA402" wp14:editId="79C69FB3">
          <wp:simplePos x="0" y="0"/>
          <wp:positionH relativeFrom="page">
            <wp:posOffset>32235</wp:posOffset>
          </wp:positionH>
          <wp:positionV relativeFrom="bottomMargin">
            <wp:posOffset>-635</wp:posOffset>
          </wp:positionV>
          <wp:extent cx="7548113" cy="933086"/>
          <wp:effectExtent l="0" t="0" r="0" b="635"/>
          <wp:wrapNone/>
          <wp:docPr id="18" name="תמונה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דף פירמה חדש להדפסה - עברית ואנגלית-04-04.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113" cy="93308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6D927" w14:textId="77777777" w:rsidR="00144518" w:rsidRDefault="00144518" w:rsidP="00D74B48">
      <w:pPr>
        <w:spacing w:after="0" w:line="240" w:lineRule="auto"/>
      </w:pPr>
      <w:r>
        <w:separator/>
      </w:r>
    </w:p>
  </w:footnote>
  <w:footnote w:type="continuationSeparator" w:id="0">
    <w:p w14:paraId="28E7212E" w14:textId="77777777" w:rsidR="00144518" w:rsidRDefault="00144518" w:rsidP="00D74B48">
      <w:pPr>
        <w:spacing w:after="0" w:line="240" w:lineRule="auto"/>
      </w:pPr>
      <w:r>
        <w:continuationSeparator/>
      </w:r>
    </w:p>
  </w:footnote>
  <w:footnote w:id="1">
    <w:p w14:paraId="1FDD1C6E" w14:textId="278EB051" w:rsidR="005A7769" w:rsidRPr="00575468" w:rsidRDefault="005A7769" w:rsidP="005A7769">
      <w:pPr>
        <w:pStyle w:val="FootnoteText"/>
        <w:rPr>
          <w:rFonts w:ascii="Alef" w:hAnsi="Alef" w:cs="Alef"/>
          <w:rtl/>
        </w:rPr>
      </w:pPr>
      <w:r w:rsidRPr="00575468">
        <w:rPr>
          <w:rStyle w:val="FootnoteReference"/>
          <w:rFonts w:ascii="Alef" w:hAnsi="Alef" w:cs="Alef"/>
        </w:rPr>
        <w:footnoteRef/>
      </w:r>
      <w:r w:rsidRPr="00575468">
        <w:rPr>
          <w:rFonts w:ascii="Alef" w:hAnsi="Alef" w:cs="Alef"/>
          <w:rtl/>
        </w:rPr>
        <w:t xml:space="preserve"> למען הסר ספק יובהר שלא מדובר בשיעור רווחיות גולמי מפני שנתון זה משקף את בפער שבין מכיר רכישת הירקות והפירות למכיר המכירה שלהם. זאת, מבלי לקחת בחשבון עלויות נוספות כגון עלויות הפצה ושיווק ועלויות נו</w:t>
      </w:r>
      <w:r w:rsidR="002272D8">
        <w:rPr>
          <w:rFonts w:ascii="Alef" w:hAnsi="Alef" w:cs="Alef" w:hint="cs"/>
          <w:rtl/>
        </w:rPr>
        <w:t>ס</w:t>
      </w:r>
      <w:r w:rsidRPr="00575468">
        <w:rPr>
          <w:rFonts w:ascii="Alef" w:hAnsi="Alef" w:cs="Alef"/>
          <w:rtl/>
        </w:rPr>
        <w:t>פות בהן נושאות הפירמות בשיווק מוצרים אלה.</w:t>
      </w:r>
    </w:p>
  </w:footnote>
  <w:footnote w:id="2">
    <w:p w14:paraId="6BE2D30A" w14:textId="77777777" w:rsidR="00006A78" w:rsidRPr="00575468" w:rsidRDefault="00006A78" w:rsidP="00006A78">
      <w:pPr>
        <w:pStyle w:val="FootnoteText"/>
        <w:rPr>
          <w:rFonts w:ascii="Alef" w:hAnsi="Alef" w:cs="Alef"/>
          <w:rtl/>
        </w:rPr>
      </w:pPr>
      <w:r w:rsidRPr="00575468">
        <w:rPr>
          <w:rStyle w:val="FootnoteReference"/>
          <w:rFonts w:ascii="Alef" w:hAnsi="Alef" w:cs="Alef"/>
        </w:rPr>
        <w:footnoteRef/>
      </w:r>
      <w:r w:rsidRPr="00575468">
        <w:rPr>
          <w:rFonts w:ascii="Alef" w:hAnsi="Alef" w:cs="Alef"/>
          <w:rtl/>
        </w:rPr>
        <w:t xml:space="preserve"> מדד </w:t>
      </w:r>
      <w:r w:rsidRPr="00575468">
        <w:rPr>
          <w:rFonts w:ascii="Alef" w:hAnsi="Alef" w:cs="Alef"/>
          <w:rtl/>
        </w:rPr>
        <w:t xml:space="preserve">הרפינדל-הירשמן (באנגלית: </w:t>
      </w:r>
      <w:r w:rsidRPr="00575468">
        <w:rPr>
          <w:rFonts w:ascii="Alef" w:hAnsi="Alef" w:cs="Alef"/>
        </w:rPr>
        <w:t>Herfindahl-Hirschman Index</w:t>
      </w:r>
      <w:r w:rsidRPr="00575468">
        <w:rPr>
          <w:rFonts w:ascii="Alef" w:hAnsi="Alef" w:cs="Alef"/>
          <w:rtl/>
        </w:rPr>
        <w:t xml:space="preserve"> או </w:t>
      </w:r>
      <w:r w:rsidRPr="00575468">
        <w:rPr>
          <w:rFonts w:ascii="Alef" w:hAnsi="Alef" w:cs="Alef"/>
        </w:rPr>
        <w:t>HHI</w:t>
      </w:r>
      <w:r w:rsidRPr="00575468">
        <w:rPr>
          <w:rFonts w:ascii="Alef" w:hAnsi="Alef" w:cs="Alef"/>
          <w:rtl/>
        </w:rPr>
        <w:t xml:space="preserve">) הוא מדד לריכוזיות בענפים במשק, המהווה אינדיקטור מקובל לרמת התחרותיות בהם. המדד מוגדר כסכום ריבועי נתחי השוק של כלל החברות בענף מסוים, בהתאם לנוסחה </w:t>
      </w:r>
      <m:oMath>
        <m:nary>
          <m:naryPr>
            <m:chr m:val="∑"/>
            <m:grow m:val="1"/>
            <m:ctrlPr>
              <w:rPr>
                <w:rFonts w:ascii="Cambria Math" w:hAnsi="Cambria Math" w:cs="Alef"/>
              </w:rPr>
            </m:ctrlPr>
          </m:naryPr>
          <m:sub>
            <m:r>
              <w:rPr>
                <w:rFonts w:ascii="Cambria Math" w:hAnsi="Cambria Math" w:cs="Alef"/>
              </w:rPr>
              <m:t>i=1</m:t>
            </m:r>
          </m:sub>
          <m:sup>
            <m:r>
              <w:rPr>
                <w:rFonts w:ascii="Cambria Math" w:hAnsi="Cambria Math" w:cs="Alef"/>
              </w:rPr>
              <m:t>k</m:t>
            </m:r>
          </m:sup>
          <m:e>
            <m:sSup>
              <m:sSupPr>
                <m:ctrlPr>
                  <w:rPr>
                    <w:rFonts w:ascii="Cambria Math" w:hAnsi="Cambria Math" w:cs="Alef"/>
                    <w:i/>
                    <w:iCs/>
                  </w:rPr>
                </m:ctrlPr>
              </m:sSupPr>
              <m:e>
                <m:r>
                  <w:rPr>
                    <w:rFonts w:ascii="Cambria Math" w:hAnsi="Cambria Math" w:cs="Alef"/>
                  </w:rPr>
                  <m:t>(m</m:t>
                </m:r>
                <m:sSub>
                  <m:sSubPr>
                    <m:ctrlPr>
                      <w:rPr>
                        <w:rFonts w:ascii="Cambria Math" w:hAnsi="Cambria Math" w:cs="Alef"/>
                        <w:i/>
                        <w:iCs/>
                      </w:rPr>
                    </m:ctrlPr>
                  </m:sSubPr>
                  <m:e>
                    <m:r>
                      <w:rPr>
                        <w:rFonts w:ascii="Cambria Math" w:hAnsi="Cambria Math" w:cs="Alef"/>
                      </w:rPr>
                      <m:t>s</m:t>
                    </m:r>
                  </m:e>
                  <m:sub>
                    <m:r>
                      <w:rPr>
                        <w:rFonts w:ascii="Cambria Math" w:hAnsi="Cambria Math" w:cs="Alef"/>
                      </w:rPr>
                      <m:t>i</m:t>
                    </m:r>
                  </m:sub>
                </m:sSub>
                <m:r>
                  <w:rPr>
                    <w:rFonts w:ascii="Cambria Math" w:hAnsi="Cambria Math" w:cs="Alef"/>
                  </w:rPr>
                  <m:t>)</m:t>
                </m:r>
              </m:e>
              <m:sup>
                <m:r>
                  <w:rPr>
                    <w:rFonts w:ascii="Cambria Math" w:hAnsi="Cambria Math" w:cs="Alef"/>
                  </w:rPr>
                  <m:t>2</m:t>
                </m:r>
              </m:sup>
            </m:sSup>
          </m:e>
        </m:nary>
      </m:oMath>
      <w:r w:rsidRPr="00575468">
        <w:rPr>
          <w:rFonts w:ascii="Alef" w:hAnsi="Alef" w:cs="Alef"/>
          <w:rtl/>
        </w:rPr>
        <w:t xml:space="preserve">, כאשר </w:t>
      </w:r>
      <m:oMath>
        <m:r>
          <w:rPr>
            <w:rFonts w:ascii="Cambria Math" w:hAnsi="Cambria Math" w:cs="Alef"/>
          </w:rPr>
          <m:t>m</m:t>
        </m:r>
        <m:sSub>
          <m:sSubPr>
            <m:ctrlPr>
              <w:rPr>
                <w:rFonts w:ascii="Cambria Math" w:hAnsi="Cambria Math" w:cs="Alef"/>
                <w:i/>
                <w:iCs/>
              </w:rPr>
            </m:ctrlPr>
          </m:sSubPr>
          <m:e>
            <m:r>
              <w:rPr>
                <w:rFonts w:ascii="Cambria Math" w:hAnsi="Cambria Math" w:cs="Alef"/>
              </w:rPr>
              <m:t>s</m:t>
            </m:r>
          </m:e>
          <m:sub>
            <m:r>
              <w:rPr>
                <w:rFonts w:ascii="Cambria Math" w:hAnsi="Cambria Math" w:cs="Alef"/>
              </w:rPr>
              <m:t>i</m:t>
            </m:r>
          </m:sub>
        </m:sSub>
      </m:oMath>
      <w:r w:rsidRPr="00575468">
        <w:rPr>
          <w:rFonts w:ascii="Alef" w:hAnsi="Alef" w:cs="Alef"/>
          <w:rtl/>
        </w:rPr>
        <w:t xml:space="preserve"> הוא נתח השוק של פירמה </w:t>
      </w:r>
      <m:oMath>
        <m:r>
          <w:rPr>
            <w:rFonts w:ascii="Cambria Math" w:hAnsi="Cambria Math" w:cs="Alef"/>
          </w:rPr>
          <m:t>i</m:t>
        </m:r>
      </m:oMath>
      <w:r w:rsidRPr="00575468">
        <w:rPr>
          <w:rFonts w:ascii="Alef" w:hAnsi="Alef" w:cs="Alef"/>
          <w:rtl/>
        </w:rPr>
        <w:t xml:space="preserve"> בשוק בו פעולות  </w:t>
      </w:r>
      <m:oMath>
        <m:r>
          <w:rPr>
            <w:rFonts w:ascii="Cambria Math" w:hAnsi="Cambria Math" w:cs="Alef"/>
          </w:rPr>
          <m:t>k</m:t>
        </m:r>
      </m:oMath>
      <w:r w:rsidRPr="00575468">
        <w:rPr>
          <w:rFonts w:ascii="Alef" w:hAnsi="Alef" w:cs="Alef"/>
          <w:rtl/>
        </w:rPr>
        <w:t xml:space="preserve"> פירמות. במצב של מונופול מושלם, כאשר בענף פועלת פירמה בודדת, מדד </w:t>
      </w:r>
      <w:r w:rsidRPr="00575468">
        <w:rPr>
          <w:rFonts w:ascii="Alef" w:hAnsi="Alef" w:cs="Alef"/>
        </w:rPr>
        <w:t>HHI</w:t>
      </w:r>
      <w:r w:rsidRPr="00575468">
        <w:rPr>
          <w:rFonts w:ascii="Alef" w:hAnsi="Alef" w:cs="Alef"/>
          <w:rtl/>
        </w:rPr>
        <w:t xml:space="preserve"> שווה ל-1. במקרה של סימטריה בנתחי הפירמות המדד שווה ל - </w:t>
      </w:r>
      <m:oMath>
        <m:r>
          <w:rPr>
            <w:rFonts w:ascii="Cambria Math" w:hAnsi="Cambria Math" w:cs="Alef"/>
          </w:rPr>
          <m:t>1/k</m:t>
        </m:r>
      </m:oMath>
      <w:r w:rsidRPr="00575468">
        <w:rPr>
          <w:rFonts w:ascii="Alef" w:hAnsi="Alef" w:cs="Alef"/>
          <w:rtl/>
        </w:rPr>
        <w:t xml:space="preserve"> ובתחרות משוכללת המדד שואף ל 0. לפיכך, מדד </w:t>
      </w:r>
      <w:r w:rsidRPr="00575468">
        <w:rPr>
          <w:rFonts w:ascii="Alef" w:hAnsi="Alef" w:cs="Alef"/>
        </w:rPr>
        <w:t>HHI</w:t>
      </w:r>
      <w:r w:rsidRPr="00575468">
        <w:rPr>
          <w:rFonts w:ascii="Alef" w:hAnsi="Alef" w:cs="Alef"/>
          <w:rtl/>
        </w:rPr>
        <w:t xml:space="preserve"> נע בין 0 ל-1. את המספר המתקבל נהוג להכפיל ב-10,000 לשם נוחות.</w:t>
      </w:r>
    </w:p>
  </w:footnote>
  <w:footnote w:id="3">
    <w:p w14:paraId="2A7ADBE9" w14:textId="4CF554D3" w:rsidR="00404A5F" w:rsidRPr="00575468" w:rsidRDefault="00404A5F" w:rsidP="00DB5D9E">
      <w:pPr>
        <w:pStyle w:val="FootnoteText"/>
        <w:rPr>
          <w:rFonts w:ascii="Alef" w:hAnsi="Alef" w:cs="Alef"/>
          <w:rtl/>
        </w:rPr>
      </w:pPr>
      <w:r w:rsidRPr="00575468">
        <w:rPr>
          <w:rStyle w:val="FootnoteReference"/>
          <w:rFonts w:ascii="Alef" w:hAnsi="Alef" w:cs="Alef"/>
        </w:rPr>
        <w:footnoteRef/>
      </w:r>
      <w:r w:rsidRPr="00575468">
        <w:rPr>
          <w:rFonts w:ascii="Alef" w:hAnsi="Alef" w:cs="Alef"/>
          <w:rtl/>
        </w:rPr>
        <w:t xml:space="preserve"> ככלל מדד </w:t>
      </w:r>
      <w:r w:rsidRPr="00575468">
        <w:rPr>
          <w:rFonts w:ascii="Alef" w:hAnsi="Alef" w:cs="Alef"/>
        </w:rPr>
        <w:t>HHI</w:t>
      </w:r>
      <w:r w:rsidRPr="00575468">
        <w:rPr>
          <w:rFonts w:ascii="Alef" w:hAnsi="Alef" w:cs="Alef"/>
          <w:rtl/>
        </w:rPr>
        <w:t xml:space="preserve"> מהווה אינדיקטור לריכוזיות במסגרת בדיקות גורמים בשוק מסוים בקרב אותו שוק ולא בהתייחס לקטגוריה רחבה יותר של השוק. כך למעשה, מדד ה-</w:t>
      </w:r>
      <w:r w:rsidRPr="00575468">
        <w:rPr>
          <w:rFonts w:ascii="Alef" w:hAnsi="Alef" w:cs="Alef"/>
        </w:rPr>
        <w:t>HHI</w:t>
      </w:r>
      <w:r w:rsidRPr="00575468">
        <w:rPr>
          <w:rFonts w:ascii="Alef" w:hAnsi="Alef" w:cs="Alef"/>
          <w:rtl/>
        </w:rPr>
        <w:t xml:space="preserve"> שיוצג להלן הוא "השאלה" מייעודו המקורי.</w:t>
      </w:r>
      <w:r w:rsidR="00DB5D9E">
        <w:rPr>
          <w:rFonts w:ascii="Alef" w:hAnsi="Alef" w:cs="Alef" w:hint="cs"/>
          <w:rtl/>
        </w:rPr>
        <w:t xml:space="preserve"> </w:t>
      </w:r>
      <w:r w:rsidRPr="00575468">
        <w:rPr>
          <w:rFonts w:ascii="Alef" w:hAnsi="Alef" w:cs="Alef"/>
          <w:rtl/>
        </w:rPr>
        <w:t xml:space="preserve">בגרף להלן חלוקת ענף המזון לקטגוריות מבוססת על חלוקה שביצעה חברת </w:t>
      </w:r>
      <w:r w:rsidRPr="00575468">
        <w:rPr>
          <w:rFonts w:ascii="Alef" w:hAnsi="Alef" w:cs="Alef"/>
        </w:rPr>
        <w:t>StoreNext</w:t>
      </w:r>
      <w:r w:rsidRPr="00575468">
        <w:rPr>
          <w:rFonts w:ascii="Alef" w:hAnsi="Alef" w:cs="Alef"/>
          <w:rtl/>
        </w:rPr>
        <w:t xml:space="preserve"> ואינה תואמת בהכרח להגדרות שוק בהקשר של דיני תחרות. </w:t>
      </w:r>
    </w:p>
  </w:footnote>
  <w:footnote w:id="4">
    <w:p w14:paraId="46533CB5" w14:textId="77777777" w:rsidR="004E7FE8" w:rsidRPr="00575468" w:rsidRDefault="004E7FE8" w:rsidP="00404A5F">
      <w:pPr>
        <w:pStyle w:val="FootnoteText"/>
        <w:rPr>
          <w:rFonts w:ascii="Alef" w:hAnsi="Alef" w:cs="Alef"/>
          <w:rtl/>
        </w:rPr>
      </w:pPr>
      <w:r w:rsidRPr="00575468">
        <w:rPr>
          <w:rStyle w:val="FootnoteReference"/>
          <w:rFonts w:ascii="Alef" w:hAnsi="Alef" w:cs="Alef"/>
        </w:rPr>
        <w:footnoteRef/>
      </w:r>
      <w:r w:rsidRPr="00575468">
        <w:rPr>
          <w:rFonts w:ascii="Alef" w:hAnsi="Alef" w:cs="Alef"/>
          <w:rtl/>
        </w:rPr>
        <w:t xml:space="preserve"> קטגוריות הצבועות באדום הן בעלות מדד </w:t>
      </w:r>
      <w:r w:rsidRPr="00575468">
        <w:rPr>
          <w:rFonts w:ascii="Alef" w:hAnsi="Alef" w:cs="Alef"/>
        </w:rPr>
        <w:t>HHI</w:t>
      </w:r>
      <w:r w:rsidRPr="00575468">
        <w:rPr>
          <w:rFonts w:ascii="Alef" w:hAnsi="Alef" w:cs="Alef"/>
          <w:rtl/>
        </w:rPr>
        <w:t xml:space="preserve"> המעיד על רמת ריכוזיות גבוהה (מעל 2,500 נקודות). קטגוריות הצבועות בצהוב הן בעלות מדד </w:t>
      </w:r>
      <w:r w:rsidRPr="00575468">
        <w:rPr>
          <w:rFonts w:ascii="Alef" w:hAnsi="Alef" w:cs="Alef"/>
        </w:rPr>
        <w:t>HHI</w:t>
      </w:r>
      <w:r w:rsidRPr="00575468">
        <w:rPr>
          <w:rFonts w:ascii="Alef" w:hAnsi="Alef" w:cs="Alef"/>
          <w:rtl/>
        </w:rPr>
        <w:t xml:space="preserve"> המעיד על רמת ריכוזיות בינונית מעל 1,500 נקודות, והקטגוריות הצבועות בירוק מציגות קטגוריה לא ריכוזית.</w:t>
      </w:r>
    </w:p>
    <w:p w14:paraId="024CB50A" w14:textId="77777777" w:rsidR="004E7FE8" w:rsidRPr="00575468" w:rsidRDefault="004E7FE8" w:rsidP="004E7FE8">
      <w:pPr>
        <w:pStyle w:val="FootnoteText"/>
        <w:rPr>
          <w:rFonts w:ascii="Alef" w:hAnsi="Alef" w:cs="Alef"/>
        </w:rPr>
      </w:pPr>
    </w:p>
  </w:footnote>
  <w:footnote w:id="5">
    <w:p w14:paraId="2C551911" w14:textId="77777777" w:rsidR="001F0EF9" w:rsidRPr="00575468" w:rsidRDefault="001F0EF9" w:rsidP="001F0EF9">
      <w:pPr>
        <w:pStyle w:val="FootnoteText"/>
        <w:rPr>
          <w:rFonts w:ascii="Alef" w:hAnsi="Alef" w:cs="Alef"/>
        </w:rPr>
      </w:pPr>
      <w:r w:rsidRPr="00575468">
        <w:rPr>
          <w:rStyle w:val="FootnoteReference"/>
          <w:rFonts w:ascii="Alef" w:hAnsi="Alef" w:cs="Alef"/>
        </w:rPr>
        <w:footnoteRef/>
      </w:r>
      <w:r w:rsidRPr="00575468">
        <w:rPr>
          <w:rFonts w:ascii="Alef" w:hAnsi="Alef" w:cs="Alef"/>
          <w:rtl/>
        </w:rPr>
        <w:t xml:space="preserve"> </w:t>
      </w:r>
      <w:hyperlink r:id="rId1" w:history="1">
        <w:r w:rsidRPr="00575468">
          <w:rPr>
            <w:rStyle w:val="Hyperlink"/>
            <w:rFonts w:ascii="Alef" w:hAnsi="Alef" w:cs="Alef"/>
            <w:rtl/>
          </w:rPr>
          <w:t>ראו עמדת הממונה אודות משטר אכיפת תקנים הרשמיים והשפעתו על התחרות מיום 30 במאי 2021</w:t>
        </w:r>
      </w:hyperlink>
      <w:r w:rsidRPr="00575468">
        <w:rPr>
          <w:rFonts w:ascii="Alef" w:hAnsi="Alef" w:cs="Alef"/>
          <w:rtl/>
        </w:rPr>
        <w:t>.</w:t>
      </w:r>
    </w:p>
  </w:footnote>
  <w:footnote w:id="6">
    <w:p w14:paraId="63D98DC7" w14:textId="77777777" w:rsidR="001F0EF9" w:rsidRPr="00575468" w:rsidRDefault="001F0EF9" w:rsidP="001F0EF9">
      <w:pPr>
        <w:pStyle w:val="FootnoteText"/>
        <w:rPr>
          <w:rFonts w:ascii="Alef" w:hAnsi="Alef" w:cs="Alef"/>
        </w:rPr>
      </w:pPr>
      <w:r w:rsidRPr="00575468">
        <w:rPr>
          <w:rStyle w:val="FootnoteReference"/>
          <w:rFonts w:ascii="Alef" w:hAnsi="Alef" w:cs="Alef"/>
        </w:rPr>
        <w:footnoteRef/>
      </w:r>
      <w:r w:rsidRPr="00575468">
        <w:rPr>
          <w:rFonts w:ascii="Alef" w:hAnsi="Alef" w:cs="Alef"/>
          <w:rtl/>
        </w:rPr>
        <w:t xml:space="preserve"> </w:t>
      </w:r>
      <w:r w:rsidRPr="00575468">
        <w:rPr>
          <w:rFonts w:ascii="Alef" w:hAnsi="Alef" w:cs="Alef"/>
          <w:rtl/>
          <w:lang w:eastAsia="he-IL"/>
        </w:rPr>
        <w:t>נכון להיום, לא קיים מאגר מידע מוסדר לגבי היקף התקנים המחייבים שאינם רשמיים</w:t>
      </w:r>
      <w:r w:rsidRPr="00575468">
        <w:rPr>
          <w:rFonts w:ascii="Alef" w:hAnsi="Alef" w:cs="Alef"/>
          <w:rtl/>
        </w:rPr>
        <w:t>.</w:t>
      </w:r>
    </w:p>
  </w:footnote>
  <w:footnote w:id="7">
    <w:p w14:paraId="684BD02A" w14:textId="77777777" w:rsidR="00000F5C" w:rsidRPr="00C72484" w:rsidRDefault="00000F5C" w:rsidP="00000F5C">
      <w:pPr>
        <w:pStyle w:val="FootnoteText"/>
        <w:rPr>
          <w:rFonts w:ascii="Alef" w:hAnsi="Alef" w:cs="Alef"/>
          <w:sz w:val="18"/>
          <w:szCs w:val="18"/>
        </w:rPr>
      </w:pPr>
      <w:r w:rsidRPr="00C72484">
        <w:rPr>
          <w:rFonts w:ascii="Alef" w:hAnsi="Alef" w:cs="Alef"/>
          <w:vertAlign w:val="superscript"/>
        </w:rPr>
        <w:footnoteRef/>
      </w:r>
      <w:r w:rsidRPr="00C72484">
        <w:rPr>
          <w:rFonts w:ascii="Alef" w:hAnsi="Alef" w:cs="Alef"/>
          <w:sz w:val="18"/>
          <w:szCs w:val="18"/>
        </w:rPr>
        <w:t xml:space="preserve"> </w:t>
      </w:r>
      <w:r w:rsidRPr="00C72484">
        <w:rPr>
          <w:rFonts w:ascii="Alef" w:hAnsi="Alef" w:cs="Alef"/>
          <w:rtl/>
        </w:rPr>
        <w:t>דוגמאות לכך הן הוראות רגולטוריות המגבילות את הכמות והמגוון של השחקנים בשוק; הוראות הפוגעות ביכולת הצרכנים לקבל החלטה מושכלת על המוצר שאותו הם ירכשו ולהוציאה אל הפועל; והוראות המגבילות את יכולתם או תמריצם של שחקנים אלו (או חלק מהם) להתחרות באופן מיטבי.</w:t>
      </w:r>
    </w:p>
  </w:footnote>
  <w:footnote w:id="8">
    <w:p w14:paraId="3F7DD6E4" w14:textId="7AC3F18C" w:rsidR="00000F5C" w:rsidRPr="00C72484" w:rsidRDefault="00000F5C" w:rsidP="00000F5C">
      <w:pPr>
        <w:pStyle w:val="FootnoteText"/>
        <w:rPr>
          <w:rFonts w:ascii="Alef" w:hAnsi="Alef" w:cs="Alef"/>
          <w:rtl/>
        </w:rPr>
      </w:pPr>
      <w:r w:rsidRPr="00C72484">
        <w:rPr>
          <w:rStyle w:val="FootnoteReference"/>
          <w:rFonts w:ascii="Alef" w:hAnsi="Alef" w:cs="Alef"/>
        </w:rPr>
        <w:footnoteRef/>
      </w:r>
      <w:r w:rsidRPr="00C72484">
        <w:rPr>
          <w:rFonts w:ascii="Alef" w:hAnsi="Alef" w:cs="Alef"/>
        </w:rPr>
        <w:t xml:space="preserve"> </w:t>
      </w:r>
      <w:r w:rsidRPr="00C72484">
        <w:rPr>
          <w:rFonts w:ascii="Alef" w:hAnsi="Alef" w:cs="Alef"/>
          <w:rtl/>
        </w:rPr>
        <w:t xml:space="preserve">כך עלה גם מדבריו של שר </w:t>
      </w:r>
      <w:r w:rsidR="00423776">
        <w:rPr>
          <w:rFonts w:ascii="Alef" w:hAnsi="Alef" w:cs="Alef" w:hint="cs"/>
          <w:rtl/>
        </w:rPr>
        <w:t xml:space="preserve">האוצר </w:t>
      </w:r>
      <w:r w:rsidRPr="00C72484">
        <w:rPr>
          <w:rFonts w:ascii="Alef" w:hAnsi="Alef" w:cs="Alef"/>
          <w:rtl/>
        </w:rPr>
        <w:t xml:space="preserve">במושב "צופים פני עתיד - ממשבר לשיקום ולצמיחה כלכלית" בכנס </w:t>
      </w:r>
      <w:r>
        <w:rPr>
          <w:rFonts w:ascii="Alef" w:hAnsi="Alef" w:cs="Alef"/>
          <w:rtl/>
        </w:rPr>
        <w:t xml:space="preserve">ה-38 של לשכת רואי החשבון שנערך </w:t>
      </w:r>
      <w:r>
        <w:rPr>
          <w:rFonts w:ascii="Alef" w:hAnsi="Alef" w:cs="Alef" w:hint="cs"/>
          <w:rtl/>
        </w:rPr>
        <w:t xml:space="preserve">בתחילת החודש בתאריכים 4-8.7.2021: </w:t>
      </w:r>
      <w:r>
        <w:rPr>
          <w:rFonts w:ascii="Alef" w:hAnsi="Alef" w:cs="Alef"/>
        </w:rPr>
        <w:br/>
      </w:r>
      <w:hyperlink r:id="rId2" w:history="1">
        <w:r w:rsidRPr="003818AE">
          <w:rPr>
            <w:rStyle w:val="Hyperlink"/>
            <w:rFonts w:ascii="Alef" w:hAnsi="Alef" w:cs="Alef"/>
          </w:rPr>
          <w:t>https://www.facebook.com/AccountingTLV/videos/496102758343680/?__so__=channel_tab&amp;__rv__=all_videos_card</w:t>
        </w:r>
      </w:hyperlink>
      <w:r w:rsidRPr="00C72484">
        <w:rPr>
          <w:rFonts w:ascii="Alef" w:hAnsi="Alef" w:cs="Alef"/>
          <w:rtl/>
        </w:rPr>
        <w:t xml:space="preserve"> </w:t>
      </w:r>
    </w:p>
  </w:footnote>
  <w:footnote w:id="9">
    <w:p w14:paraId="59A9B76D" w14:textId="77777777" w:rsidR="00000F5C" w:rsidRPr="00C72484" w:rsidRDefault="00000F5C" w:rsidP="00000F5C">
      <w:pPr>
        <w:pStyle w:val="FootnoteText"/>
        <w:rPr>
          <w:rFonts w:ascii="Alef" w:hAnsi="Alef" w:cs="Alef"/>
          <w:rtl/>
        </w:rPr>
      </w:pPr>
      <w:r w:rsidRPr="00C72484">
        <w:rPr>
          <w:rStyle w:val="FootnoteReference"/>
          <w:rFonts w:ascii="Alef" w:hAnsi="Alef" w:cs="Alef"/>
        </w:rPr>
        <w:footnoteRef/>
      </w:r>
      <w:r w:rsidRPr="00C72484">
        <w:rPr>
          <w:rFonts w:ascii="Alef" w:hAnsi="Alef" w:cs="Alef"/>
        </w:rPr>
        <w:t xml:space="preserve"> </w:t>
      </w:r>
      <w:r w:rsidRPr="00AC3989">
        <w:rPr>
          <w:rFonts w:ascii="Alef" w:hAnsi="Alef" w:cs="Alef"/>
          <w:rtl/>
        </w:rPr>
        <w:t xml:space="preserve">הנחיה דומה אף פורסמה בארה"ב לאחרונה בצו נשיאותי שהוציא נשיא ארה"ב, ג'ו </w:t>
      </w:r>
      <w:r w:rsidRPr="00AC3989">
        <w:rPr>
          <w:rFonts w:ascii="Alef" w:hAnsi="Alef" w:cs="Alef"/>
          <w:rtl/>
        </w:rPr>
        <w:t>ביידן.</w:t>
      </w:r>
      <w:r>
        <w:rPr>
          <w:rFonts w:ascii="Alef" w:hAnsi="Alef" w:cs="Alef" w:hint="cs"/>
          <w:rtl/>
        </w:rPr>
        <w:t xml:space="preserve"> </w:t>
      </w:r>
      <w:r w:rsidRPr="00C72484">
        <w:rPr>
          <w:rFonts w:ascii="Alef" w:hAnsi="Alef" w:cs="Alef"/>
          <w:rtl/>
        </w:rPr>
        <w:t>ראו:</w:t>
      </w:r>
    </w:p>
    <w:p w14:paraId="5EEEBF31" w14:textId="77777777" w:rsidR="00000F5C" w:rsidRPr="00C72484" w:rsidRDefault="00F10D21" w:rsidP="00000F5C">
      <w:pPr>
        <w:pStyle w:val="FootnoteText"/>
        <w:rPr>
          <w:rFonts w:ascii="Alef" w:hAnsi="Alef" w:cs="Alef"/>
        </w:rPr>
      </w:pPr>
      <w:hyperlink r:id="rId3" w:history="1">
        <w:r w:rsidR="00000F5C" w:rsidRPr="003818AE">
          <w:rPr>
            <w:rStyle w:val="Hyperlink"/>
            <w:rFonts w:ascii="Alef" w:hAnsi="Alef" w:cs="Alef"/>
          </w:rPr>
          <w:t>https://www.whitehouse.gov/briefing-room/presidential-actions/2021/07/09/executive-order-on-promoting-competition-in-the-american-economy</w:t>
        </w:r>
      </w:hyperlink>
      <w:r w:rsidR="00000F5C" w:rsidRPr="00C72484">
        <w:rPr>
          <w:rFonts w:ascii="Alef" w:hAnsi="Alef" w:cs="Alef"/>
        </w:rPr>
        <w:t xml:space="preserve">, section 5. </w:t>
      </w:r>
    </w:p>
  </w:footnote>
  <w:footnote w:id="10">
    <w:p w14:paraId="0829988A" w14:textId="77777777" w:rsidR="00000F5C" w:rsidRPr="00C72484" w:rsidRDefault="00000F5C" w:rsidP="00000F5C">
      <w:pPr>
        <w:pStyle w:val="FootnoteText"/>
        <w:rPr>
          <w:rFonts w:ascii="Alef" w:hAnsi="Alef" w:cs="Alef"/>
          <w:rtl/>
        </w:rPr>
      </w:pPr>
      <w:r w:rsidRPr="00C72484">
        <w:rPr>
          <w:rStyle w:val="FootnoteReference"/>
          <w:rFonts w:ascii="Alef" w:hAnsi="Alef" w:cs="Alef"/>
        </w:rPr>
        <w:footnoteRef/>
      </w:r>
      <w:r w:rsidRPr="00C72484">
        <w:rPr>
          <w:rFonts w:ascii="Alef" w:hAnsi="Alef" w:cs="Alef"/>
        </w:rPr>
        <w:t xml:space="preserve"> </w:t>
      </w:r>
      <w:r w:rsidRPr="00C72484">
        <w:rPr>
          <w:rFonts w:ascii="Alef" w:hAnsi="Alef" w:cs="Alef"/>
          <w:rtl/>
        </w:rPr>
        <w:t>רגולציה מוכוונת תוצאה מקובלת ברשויות בעולם:</w:t>
      </w:r>
    </w:p>
    <w:p w14:paraId="3ECDA287" w14:textId="77777777" w:rsidR="00000F5C" w:rsidRPr="00C72484" w:rsidRDefault="00000F5C" w:rsidP="00000F5C">
      <w:pPr>
        <w:pStyle w:val="FootnoteText"/>
        <w:rPr>
          <w:rFonts w:ascii="Alef" w:hAnsi="Alef" w:cs="Alef"/>
        </w:rPr>
      </w:pPr>
      <w:r w:rsidRPr="00C72484">
        <w:rPr>
          <w:rFonts w:ascii="Alef" w:hAnsi="Alef" w:cs="Alef"/>
        </w:rPr>
        <w:t>Department of Finance, Services and Innovation, Guidance for regulators to implement outcomes and risk</w:t>
      </w:r>
      <w:r w:rsidRPr="00C72484">
        <w:rPr>
          <w:rFonts w:ascii="Alef" w:hAnsi="Alef" w:cs="Alef"/>
        </w:rPr>
        <w:noBreakHyphen/>
        <w:t xml:space="preserve">based regulation, October 2016,  https://www.productivity.nsw.gov.au/sites/default/files/2018-05/Guidance_for_regulators_to_implement_outcomes_and_risk-based_regulation-October_2016.pdf </w:t>
      </w:r>
    </w:p>
    <w:p w14:paraId="71E0D7F4" w14:textId="77777777" w:rsidR="00000F5C" w:rsidRPr="00C72484" w:rsidRDefault="00F10D21" w:rsidP="00000F5C">
      <w:pPr>
        <w:pStyle w:val="FootnoteText"/>
        <w:rPr>
          <w:rFonts w:ascii="Alef" w:hAnsi="Alef" w:cs="Alef"/>
        </w:rPr>
      </w:pPr>
      <w:hyperlink r:id="rId4" w:history="1">
        <w:r w:rsidR="00000F5C" w:rsidRPr="00C72484">
          <w:rPr>
            <w:rStyle w:val="Hyperlink"/>
            <w:rFonts w:ascii="Alef" w:hAnsi="Alef" w:cs="Alef"/>
          </w:rPr>
          <w:t>https://www.fca.org.uk/news/speeches/outcomes-focussed-regulation-measure-success</w:t>
        </w:r>
      </w:hyperlink>
    </w:p>
    <w:p w14:paraId="59C98D59" w14:textId="77777777" w:rsidR="00000F5C" w:rsidRPr="00C72484" w:rsidRDefault="00F10D21" w:rsidP="00000F5C">
      <w:pPr>
        <w:pStyle w:val="FootnoteText"/>
        <w:rPr>
          <w:rFonts w:ascii="Alef" w:hAnsi="Alef" w:cs="Alef"/>
        </w:rPr>
      </w:pPr>
      <w:hyperlink r:id="rId5" w:history="1">
        <w:r w:rsidR="00000F5C" w:rsidRPr="00C72484">
          <w:rPr>
            <w:rStyle w:val="Hyperlink"/>
            <w:rFonts w:ascii="Alef" w:hAnsi="Alef" w:cs="Alef"/>
          </w:rPr>
          <w:t>https://inspection.canada.ca/about-cfia/acts-and-regulations/safe-and-responsive-regulatory-framework/outcome-based-regulations/eng/1545927831816/1545927832066</w:t>
        </w:r>
      </w:hyperlink>
      <w:r w:rsidR="00000F5C" w:rsidRPr="00C72484">
        <w:rPr>
          <w:rFonts w:ascii="Alef" w:hAnsi="Alef" w:cs="Alef"/>
        </w:rPr>
        <w:t>.</w:t>
      </w:r>
    </w:p>
    <w:p w14:paraId="244063C7" w14:textId="77777777" w:rsidR="00000F5C" w:rsidRPr="00C72484" w:rsidRDefault="00000F5C" w:rsidP="00000F5C">
      <w:pPr>
        <w:pStyle w:val="FootnoteText"/>
        <w:rPr>
          <w:rFonts w:ascii="Alef" w:hAnsi="Alef" w:cs="Alef"/>
          <w:rtl/>
        </w:rPr>
      </w:pPr>
      <w:r w:rsidRPr="00C72484">
        <w:rPr>
          <w:rFonts w:ascii="Alef" w:hAnsi="Alef" w:cs="Alef"/>
          <w:rtl/>
        </w:rPr>
        <w:t>ראו גם, גיא מור, הרגולטור איך לבנות רגולציה נכון – ארבעת אבני הבניין [חלק ב']</w:t>
      </w:r>
    </w:p>
    <w:p w14:paraId="554097F7" w14:textId="77777777" w:rsidR="00000F5C" w:rsidRPr="00C72484" w:rsidRDefault="00F10D21" w:rsidP="00000F5C">
      <w:pPr>
        <w:pStyle w:val="FootnoteText"/>
        <w:rPr>
          <w:rFonts w:ascii="Alef" w:hAnsi="Alef" w:cs="Alef"/>
        </w:rPr>
      </w:pPr>
      <w:hyperlink r:id="rId6" w:history="1">
        <w:r w:rsidR="00000F5C" w:rsidRPr="00C72484">
          <w:rPr>
            <w:rStyle w:val="Hyperlink"/>
            <w:rFonts w:ascii="Alef" w:hAnsi="Alef" w:cs="Alef"/>
          </w:rPr>
          <w:t>https://regulator.online/2021/07/19/reg_building_blocks/</w:t>
        </w:r>
      </w:hyperlink>
    </w:p>
  </w:footnote>
  <w:footnote w:id="11">
    <w:p w14:paraId="2A12D44B" w14:textId="77777777" w:rsidR="00000F5C" w:rsidRPr="00C72484" w:rsidRDefault="00000F5C" w:rsidP="00000F5C">
      <w:pPr>
        <w:pStyle w:val="FootnoteText"/>
        <w:rPr>
          <w:rFonts w:ascii="Alef" w:hAnsi="Alef" w:cs="Alef"/>
          <w:rtl/>
        </w:rPr>
      </w:pPr>
      <w:r w:rsidRPr="00C72484">
        <w:rPr>
          <w:rStyle w:val="FootnoteReference"/>
          <w:rFonts w:ascii="Alef" w:hAnsi="Alef" w:cs="Alef"/>
        </w:rPr>
        <w:footnoteRef/>
      </w:r>
      <w:r w:rsidRPr="00C72484">
        <w:rPr>
          <w:rFonts w:ascii="Alef" w:hAnsi="Alef" w:cs="Alef"/>
        </w:rPr>
        <w:t xml:space="preserve"> </w:t>
      </w:r>
      <w:r w:rsidRPr="00C72484">
        <w:rPr>
          <w:rFonts w:ascii="Alef" w:hAnsi="Alef" w:cs="Alef"/>
          <w:rtl/>
        </w:rPr>
        <w:t xml:space="preserve">בהתאם לעקרון המנחה המופיע בסעיף 3ב להחלטת ממשלה מספר 2118. </w:t>
      </w:r>
    </w:p>
  </w:footnote>
  <w:footnote w:id="12">
    <w:p w14:paraId="53FF1DBB" w14:textId="19909C6A" w:rsidR="00BE6FFC" w:rsidRPr="00693D98" w:rsidRDefault="00BE6FFC">
      <w:pPr>
        <w:pStyle w:val="FootnoteText"/>
        <w:rPr>
          <w:rFonts w:ascii="Alef" w:hAnsi="Alef" w:cs="Alef"/>
          <w:rtl/>
        </w:rPr>
      </w:pPr>
      <w:r>
        <w:rPr>
          <w:rStyle w:val="FootnoteReference"/>
        </w:rPr>
        <w:footnoteRef/>
      </w:r>
      <w:r>
        <w:rPr>
          <w:rtl/>
        </w:rPr>
        <w:t xml:space="preserve"> </w:t>
      </w:r>
      <w:r w:rsidRPr="009D56EA">
        <w:rPr>
          <w:rFonts w:ascii="Alef" w:hAnsi="Alef" w:cs="Alef"/>
          <w:rtl/>
        </w:rPr>
        <w:t xml:space="preserve">בחינה זאת אמנם </w:t>
      </w:r>
      <w:r>
        <w:rPr>
          <w:rFonts w:ascii="Alef" w:hAnsi="Alef" w:cs="Alef" w:hint="cs"/>
          <w:rtl/>
        </w:rPr>
        <w:t xml:space="preserve">מתבצעת </w:t>
      </w:r>
      <w:r w:rsidRPr="009D56EA">
        <w:rPr>
          <w:rFonts w:ascii="Alef" w:hAnsi="Alef" w:cs="Alef"/>
          <w:rtl/>
        </w:rPr>
        <w:t>בדיעבד</w:t>
      </w:r>
      <w:r>
        <w:rPr>
          <w:rFonts w:ascii="Alef" w:hAnsi="Alef" w:cs="Alef" w:hint="cs"/>
          <w:rtl/>
        </w:rPr>
        <w:t>,</w:t>
      </w:r>
      <w:r w:rsidRPr="009D56EA">
        <w:rPr>
          <w:rFonts w:ascii="Alef" w:hAnsi="Alef" w:cs="Alef"/>
          <w:rtl/>
        </w:rPr>
        <w:t xml:space="preserve"> אבל לא בשל התייחסות שונה לרגולטורים פיננסיים אלא משום שזה תפקיד ה-</w:t>
      </w:r>
      <w:r w:rsidRPr="009D56EA">
        <w:rPr>
          <w:rFonts w:ascii="Alef" w:hAnsi="Alef" w:cs="Alef"/>
        </w:rPr>
        <w:t>ROB</w:t>
      </w:r>
      <w:r w:rsidRPr="009D56EA">
        <w:rPr>
          <w:rFonts w:ascii="Alef" w:hAnsi="Alef" w:cs="Alef"/>
          <w:rtl/>
        </w:rPr>
        <w:t xml:space="preserve"> בבריטניה</w:t>
      </w:r>
      <w:r>
        <w:rPr>
          <w:rFonts w:ascii="Alef" w:hAnsi="Alef" w:cs="Alef" w:hint="cs"/>
          <w:rtl/>
        </w:rPr>
        <w:t xml:space="preserve"> ביחס לכלל הרגולטורים</w:t>
      </w:r>
      <w:r w:rsidR="00693D98">
        <w:rPr>
          <w:rFonts w:ascii="Alef" w:hAnsi="Alef" w:cs="Alef" w:hint="cs"/>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C4530" w14:textId="4E0B1CC4" w:rsidR="007F7CF6" w:rsidRDefault="007F7CF6">
    <w:pPr>
      <w:pStyle w:val="Header"/>
    </w:pPr>
    <w:r>
      <w:rPr>
        <w:noProof/>
        <w:rtl/>
      </w:rPr>
      <w:drawing>
        <wp:anchor distT="0" distB="0" distL="114300" distR="114300" simplePos="0" relativeHeight="251663360" behindDoc="1" locked="0" layoutInCell="1" allowOverlap="1" wp14:anchorId="1B5B75E7" wp14:editId="5AA1DDB8">
          <wp:simplePos x="0" y="0"/>
          <wp:positionH relativeFrom="page">
            <wp:posOffset>33567</wp:posOffset>
          </wp:positionH>
          <wp:positionV relativeFrom="page">
            <wp:posOffset>98321</wp:posOffset>
          </wp:positionV>
          <wp:extent cx="7540965" cy="1336724"/>
          <wp:effectExtent l="0" t="0" r="0" b="0"/>
          <wp:wrapSquare wrapText="bothSides"/>
          <wp:docPr id="17" name="תמונה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דף פירמה חדש להדפסה - עברית ואנגלית-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0965" cy="13367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B6290"/>
    <w:multiLevelType w:val="hybridMultilevel"/>
    <w:tmpl w:val="B4EEA144"/>
    <w:lvl w:ilvl="0" w:tplc="439AC172">
      <w:start w:val="1"/>
      <w:numFmt w:val="decimal"/>
      <w:lvlText w:val="%1."/>
      <w:lvlJc w:val="left"/>
      <w:pPr>
        <w:ind w:left="720" w:hanging="360"/>
      </w:pPr>
      <w:rPr>
        <w:rFonts w:hint="default"/>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7F1780"/>
    <w:multiLevelType w:val="hybridMultilevel"/>
    <w:tmpl w:val="F9B4082E"/>
    <w:lvl w:ilvl="0" w:tplc="0409000F">
      <w:start w:val="1"/>
      <w:numFmt w:val="decimal"/>
      <w:lvlText w:val="%1."/>
      <w:lvlJc w:val="left"/>
      <w:pPr>
        <w:ind w:left="360" w:hanging="360"/>
      </w:pPr>
      <w:rPr>
        <w:rFonts w:hint="default"/>
      </w:rPr>
    </w:lvl>
    <w:lvl w:ilvl="1" w:tplc="4CF60EF8">
      <w:start w:val="1"/>
      <w:numFmt w:val="hebrew1"/>
      <w:lvlText w:val="%2."/>
      <w:lvlJc w:val="center"/>
      <w:pPr>
        <w:ind w:left="1080" w:hanging="360"/>
      </w:pPr>
      <w:rPr>
        <w:lang w:val="en-US"/>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BC263F9"/>
    <w:multiLevelType w:val="multilevel"/>
    <w:tmpl w:val="04090021"/>
    <w:lvl w:ilvl="0">
      <w:start w:val="1"/>
      <w:numFmt w:val="hebrew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3" w15:restartNumberingAfterBreak="0">
    <w:nsid w:val="2D595E22"/>
    <w:multiLevelType w:val="hybridMultilevel"/>
    <w:tmpl w:val="481A9F94"/>
    <w:lvl w:ilvl="0" w:tplc="04090013">
      <w:start w:val="1"/>
      <w:numFmt w:val="hebrew1"/>
      <w:lvlText w:val="%1."/>
      <w:lvlJc w:val="center"/>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6B1729E"/>
    <w:multiLevelType w:val="hybridMultilevel"/>
    <w:tmpl w:val="CBA61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B7794E"/>
    <w:multiLevelType w:val="multilevel"/>
    <w:tmpl w:val="742670D0"/>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6942EF0"/>
    <w:multiLevelType w:val="hybridMultilevel"/>
    <w:tmpl w:val="61D47CEC"/>
    <w:lvl w:ilvl="0" w:tplc="D6BEDDB8">
      <w:start w:val="1"/>
      <w:numFmt w:val="decimal"/>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7" w15:restartNumberingAfterBreak="0">
    <w:nsid w:val="56B76173"/>
    <w:multiLevelType w:val="multilevel"/>
    <w:tmpl w:val="04090021"/>
    <w:lvl w:ilvl="0">
      <w:start w:val="1"/>
      <w:numFmt w:val="hebrew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8" w15:restartNumberingAfterBreak="0">
    <w:nsid w:val="618B5DA5"/>
    <w:multiLevelType w:val="multilevel"/>
    <w:tmpl w:val="D422C94E"/>
    <w:lvl w:ilvl="0">
      <w:start w:val="1"/>
      <w:numFmt w:val="decimal"/>
      <w:lvlText w:val="%1."/>
      <w:lvlJc w:val="left"/>
      <w:pPr>
        <w:ind w:left="368" w:hanging="360"/>
      </w:pPr>
      <w:rPr>
        <w:rFonts w:hint="default"/>
        <w:b w:val="0"/>
        <w:bCs w:val="0"/>
        <w:sz w:val="24"/>
        <w:szCs w:val="24"/>
        <w:lang w:val="en-US"/>
      </w:rPr>
    </w:lvl>
    <w:lvl w:ilvl="1">
      <w:start w:val="4"/>
      <w:numFmt w:val="decimal"/>
      <w:isLgl/>
      <w:lvlText w:val="%1.%2."/>
      <w:lvlJc w:val="left"/>
      <w:pPr>
        <w:ind w:left="368" w:hanging="360"/>
      </w:pPr>
      <w:rPr>
        <w:rFonts w:hint="default"/>
      </w:rPr>
    </w:lvl>
    <w:lvl w:ilvl="2">
      <w:start w:val="1"/>
      <w:numFmt w:val="decimal"/>
      <w:isLgl/>
      <w:lvlText w:val="%1.%2.%3."/>
      <w:lvlJc w:val="left"/>
      <w:pPr>
        <w:ind w:left="728" w:hanging="720"/>
      </w:pPr>
      <w:rPr>
        <w:rFonts w:hint="default"/>
      </w:rPr>
    </w:lvl>
    <w:lvl w:ilvl="3">
      <w:start w:val="1"/>
      <w:numFmt w:val="decimal"/>
      <w:isLgl/>
      <w:lvlText w:val="%1.%2.%3.%4."/>
      <w:lvlJc w:val="left"/>
      <w:pPr>
        <w:ind w:left="728" w:hanging="720"/>
      </w:pPr>
      <w:rPr>
        <w:rFonts w:hint="default"/>
      </w:rPr>
    </w:lvl>
    <w:lvl w:ilvl="4">
      <w:start w:val="1"/>
      <w:numFmt w:val="decimal"/>
      <w:isLgl/>
      <w:lvlText w:val="%1.%2.%3.%4.%5."/>
      <w:lvlJc w:val="left"/>
      <w:pPr>
        <w:ind w:left="1088" w:hanging="1080"/>
      </w:pPr>
      <w:rPr>
        <w:rFonts w:hint="default"/>
      </w:rPr>
    </w:lvl>
    <w:lvl w:ilvl="5">
      <w:start w:val="1"/>
      <w:numFmt w:val="decimal"/>
      <w:isLgl/>
      <w:lvlText w:val="%1.%2.%3.%4.%5.%6."/>
      <w:lvlJc w:val="left"/>
      <w:pPr>
        <w:ind w:left="1088" w:hanging="1080"/>
      </w:pPr>
      <w:rPr>
        <w:rFonts w:hint="default"/>
      </w:rPr>
    </w:lvl>
    <w:lvl w:ilvl="6">
      <w:start w:val="1"/>
      <w:numFmt w:val="decimal"/>
      <w:isLgl/>
      <w:lvlText w:val="%1.%2.%3.%4.%5.%6.%7."/>
      <w:lvlJc w:val="left"/>
      <w:pPr>
        <w:ind w:left="1448" w:hanging="1440"/>
      </w:pPr>
      <w:rPr>
        <w:rFonts w:hint="default"/>
      </w:rPr>
    </w:lvl>
    <w:lvl w:ilvl="7">
      <w:start w:val="1"/>
      <w:numFmt w:val="decimal"/>
      <w:isLgl/>
      <w:lvlText w:val="%1.%2.%3.%4.%5.%6.%7.%8."/>
      <w:lvlJc w:val="left"/>
      <w:pPr>
        <w:ind w:left="1448" w:hanging="1440"/>
      </w:pPr>
      <w:rPr>
        <w:rFonts w:hint="default"/>
      </w:rPr>
    </w:lvl>
    <w:lvl w:ilvl="8">
      <w:start w:val="1"/>
      <w:numFmt w:val="decimal"/>
      <w:isLgl/>
      <w:lvlText w:val="%1.%2.%3.%4.%5.%6.%7.%8.%9."/>
      <w:lvlJc w:val="left"/>
      <w:pPr>
        <w:ind w:left="1448" w:hanging="1440"/>
      </w:pPr>
      <w:rPr>
        <w:rFonts w:hint="default"/>
      </w:rPr>
    </w:lvl>
  </w:abstractNum>
  <w:abstractNum w:abstractNumId="9" w15:restartNumberingAfterBreak="0">
    <w:nsid w:val="735F4F69"/>
    <w:multiLevelType w:val="multilevel"/>
    <w:tmpl w:val="5F4ECD04"/>
    <w:lvl w:ilvl="0">
      <w:start w:val="1"/>
      <w:numFmt w:val="decimal"/>
      <w:pStyle w:val="2"/>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hebrew1"/>
      <w:lvlText w:val="%2."/>
      <w:lvlJc w:val="center"/>
      <w:pPr>
        <w:ind w:left="737" w:hanging="283"/>
      </w:pPr>
      <w:rPr>
        <w:rFonts w:ascii="David" w:hAnsi="David" w:cs="David" w:hint="cs"/>
        <w:sz w:val="24"/>
        <w:szCs w:val="24"/>
      </w:rPr>
    </w:lvl>
    <w:lvl w:ilvl="2">
      <w:start w:val="1"/>
      <w:numFmt w:val="decimal"/>
      <w:lvlText w:val="(%3)"/>
      <w:lvlJc w:val="center"/>
      <w:pPr>
        <w:ind w:left="1191" w:hanging="340"/>
      </w:pPr>
      <w:rPr>
        <w:rFonts w:ascii="David" w:hAnsi="David" w:cs="David" w:hint="cs"/>
        <w:sz w:val="24"/>
        <w:szCs w:val="24"/>
      </w:rPr>
    </w:lvl>
    <w:lvl w:ilvl="3">
      <w:start w:val="1"/>
      <w:numFmt w:val="none"/>
      <w:lvlText w:val=""/>
      <w:lvlJc w:val="center"/>
      <w:pPr>
        <w:ind w:left="2665" w:hanging="624"/>
      </w:pPr>
      <w:rPr>
        <w:rFonts w:hint="default"/>
      </w:rPr>
    </w:lvl>
    <w:lvl w:ilvl="4">
      <w:start w:val="1"/>
      <w:numFmt w:val="none"/>
      <w:lvlText w:val=""/>
      <w:lvlJc w:val="center"/>
      <w:pPr>
        <w:ind w:left="3799" w:hanging="709"/>
      </w:pPr>
      <w:rPr>
        <w:rFonts w:hint="default"/>
      </w:rPr>
    </w:lvl>
    <w:lvl w:ilvl="5">
      <w:start w:val="1"/>
      <w:numFmt w:val="none"/>
      <w:lvlText w:val=""/>
      <w:lvlJc w:val="center"/>
      <w:pPr>
        <w:ind w:left="5160" w:hanging="822"/>
      </w:pPr>
      <w:rPr>
        <w:rFonts w:hint="default"/>
      </w:rPr>
    </w:lvl>
    <w:lvl w:ilvl="6">
      <w:start w:val="1"/>
      <w:numFmt w:val="none"/>
      <w:lvlText w:val=""/>
      <w:lvlJc w:val="center"/>
      <w:pPr>
        <w:ind w:left="6634" w:hanging="851"/>
      </w:pPr>
      <w:rPr>
        <w:rFonts w:hint="default"/>
      </w:rPr>
    </w:lvl>
    <w:lvl w:ilvl="7">
      <w:start w:val="1"/>
      <w:numFmt w:val="none"/>
      <w:lvlText w:val=""/>
      <w:lvlJc w:val="center"/>
      <w:pPr>
        <w:ind w:left="8335" w:hanging="992"/>
      </w:pPr>
      <w:rPr>
        <w:rFonts w:hint="default"/>
      </w:rPr>
    </w:lvl>
    <w:lvl w:ilvl="8">
      <w:start w:val="1"/>
      <w:numFmt w:val="none"/>
      <w:lvlText w:val=""/>
      <w:lvlJc w:val="center"/>
      <w:pPr>
        <w:ind w:left="3240" w:hanging="360"/>
      </w:pPr>
      <w:rPr>
        <w:rFonts w:hint="default"/>
      </w:rPr>
    </w:lvl>
  </w:abstractNum>
  <w:abstractNum w:abstractNumId="10" w15:restartNumberingAfterBreak="0">
    <w:nsid w:val="7666064A"/>
    <w:multiLevelType w:val="hybridMultilevel"/>
    <w:tmpl w:val="40AA2B72"/>
    <w:lvl w:ilvl="0" w:tplc="0409000F">
      <w:start w:val="1"/>
      <w:numFmt w:val="decimal"/>
      <w:lvlText w:val="%1."/>
      <w:lvlJc w:val="left"/>
      <w:pPr>
        <w:ind w:left="360" w:hanging="360"/>
      </w:pPr>
      <w:rPr>
        <w:rFonts w:hint="default"/>
      </w:rPr>
    </w:lvl>
    <w:lvl w:ilvl="1" w:tplc="04090013">
      <w:start w:val="1"/>
      <w:numFmt w:val="hebrew1"/>
      <w:lvlText w:val="%2."/>
      <w:lvlJc w:val="center"/>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0"/>
  </w:num>
  <w:num w:numId="3">
    <w:abstractNumId w:val="1"/>
  </w:num>
  <w:num w:numId="4">
    <w:abstractNumId w:val="4"/>
  </w:num>
  <w:num w:numId="5">
    <w:abstractNumId w:val="8"/>
  </w:num>
  <w:num w:numId="6">
    <w:abstractNumId w:val="2"/>
  </w:num>
  <w:num w:numId="7">
    <w:abstractNumId w:val="5"/>
  </w:num>
  <w:num w:numId="8">
    <w:abstractNumId w:val="6"/>
  </w:num>
  <w:num w:numId="9">
    <w:abstractNumId w:val="7"/>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10"/>
  </w:num>
  <w:num w:numId="43">
    <w:abstractNumId w:val="3"/>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48"/>
    <w:rsid w:val="0000045D"/>
    <w:rsid w:val="00000F5C"/>
    <w:rsid w:val="00004F73"/>
    <w:rsid w:val="00006A78"/>
    <w:rsid w:val="00013CD7"/>
    <w:rsid w:val="00016EFF"/>
    <w:rsid w:val="00025522"/>
    <w:rsid w:val="000463F1"/>
    <w:rsid w:val="000543D8"/>
    <w:rsid w:val="0005675C"/>
    <w:rsid w:val="00057168"/>
    <w:rsid w:val="000605AA"/>
    <w:rsid w:val="00062B2E"/>
    <w:rsid w:val="000669F8"/>
    <w:rsid w:val="00066DD1"/>
    <w:rsid w:val="00081AE3"/>
    <w:rsid w:val="00083034"/>
    <w:rsid w:val="00084958"/>
    <w:rsid w:val="00085020"/>
    <w:rsid w:val="00086319"/>
    <w:rsid w:val="00092B93"/>
    <w:rsid w:val="000A1B4A"/>
    <w:rsid w:val="000A33C7"/>
    <w:rsid w:val="000A4592"/>
    <w:rsid w:val="000A5B74"/>
    <w:rsid w:val="000B0E15"/>
    <w:rsid w:val="000B1A6E"/>
    <w:rsid w:val="000B1E28"/>
    <w:rsid w:val="000B466A"/>
    <w:rsid w:val="000C1C8C"/>
    <w:rsid w:val="000C2627"/>
    <w:rsid w:val="000C526F"/>
    <w:rsid w:val="000D053E"/>
    <w:rsid w:val="000D1851"/>
    <w:rsid w:val="000D3A3A"/>
    <w:rsid w:val="000D647C"/>
    <w:rsid w:val="000F05F9"/>
    <w:rsid w:val="0010329C"/>
    <w:rsid w:val="0010447A"/>
    <w:rsid w:val="0011402F"/>
    <w:rsid w:val="00123C47"/>
    <w:rsid w:val="001345ED"/>
    <w:rsid w:val="0014194B"/>
    <w:rsid w:val="00143715"/>
    <w:rsid w:val="00144518"/>
    <w:rsid w:val="00154C9D"/>
    <w:rsid w:val="00160E7B"/>
    <w:rsid w:val="00161DF0"/>
    <w:rsid w:val="00172CF8"/>
    <w:rsid w:val="00173507"/>
    <w:rsid w:val="00174E82"/>
    <w:rsid w:val="0018249A"/>
    <w:rsid w:val="0018287F"/>
    <w:rsid w:val="0019561A"/>
    <w:rsid w:val="001975D7"/>
    <w:rsid w:val="001A6080"/>
    <w:rsid w:val="001B2BDB"/>
    <w:rsid w:val="001C2C59"/>
    <w:rsid w:val="001C32FB"/>
    <w:rsid w:val="001C489F"/>
    <w:rsid w:val="001D017B"/>
    <w:rsid w:val="001D7024"/>
    <w:rsid w:val="001E14C3"/>
    <w:rsid w:val="001E76DD"/>
    <w:rsid w:val="001F0EF9"/>
    <w:rsid w:val="001F49D9"/>
    <w:rsid w:val="001F5AFF"/>
    <w:rsid w:val="001F73A6"/>
    <w:rsid w:val="00204ADF"/>
    <w:rsid w:val="00207FDB"/>
    <w:rsid w:val="00211459"/>
    <w:rsid w:val="00217378"/>
    <w:rsid w:val="002272D8"/>
    <w:rsid w:val="00232DCD"/>
    <w:rsid w:val="00244389"/>
    <w:rsid w:val="0025250C"/>
    <w:rsid w:val="00252A1A"/>
    <w:rsid w:val="002634D9"/>
    <w:rsid w:val="00264212"/>
    <w:rsid w:val="00280F9F"/>
    <w:rsid w:val="00286315"/>
    <w:rsid w:val="002866A6"/>
    <w:rsid w:val="002A51E6"/>
    <w:rsid w:val="002A728C"/>
    <w:rsid w:val="002A7B26"/>
    <w:rsid w:val="002B2736"/>
    <w:rsid w:val="002D2257"/>
    <w:rsid w:val="002D6126"/>
    <w:rsid w:val="002E7325"/>
    <w:rsid w:val="002F78DF"/>
    <w:rsid w:val="00316804"/>
    <w:rsid w:val="0032051F"/>
    <w:rsid w:val="0033143A"/>
    <w:rsid w:val="00333210"/>
    <w:rsid w:val="00341D62"/>
    <w:rsid w:val="00345523"/>
    <w:rsid w:val="00347278"/>
    <w:rsid w:val="00360243"/>
    <w:rsid w:val="003606E0"/>
    <w:rsid w:val="00362FBD"/>
    <w:rsid w:val="00363800"/>
    <w:rsid w:val="00366319"/>
    <w:rsid w:val="00366670"/>
    <w:rsid w:val="0037009A"/>
    <w:rsid w:val="00372082"/>
    <w:rsid w:val="00373746"/>
    <w:rsid w:val="00377053"/>
    <w:rsid w:val="00382A8E"/>
    <w:rsid w:val="00383257"/>
    <w:rsid w:val="003861F1"/>
    <w:rsid w:val="00396D91"/>
    <w:rsid w:val="003A5CDC"/>
    <w:rsid w:val="003A6DC1"/>
    <w:rsid w:val="003C099D"/>
    <w:rsid w:val="003C1B1B"/>
    <w:rsid w:val="003D1CEE"/>
    <w:rsid w:val="003D1D57"/>
    <w:rsid w:val="003E0ABB"/>
    <w:rsid w:val="003E58B0"/>
    <w:rsid w:val="003E7B91"/>
    <w:rsid w:val="003F4875"/>
    <w:rsid w:val="003F74DF"/>
    <w:rsid w:val="00402A82"/>
    <w:rsid w:val="00404A5F"/>
    <w:rsid w:val="004057EF"/>
    <w:rsid w:val="00416400"/>
    <w:rsid w:val="0042084F"/>
    <w:rsid w:val="00423776"/>
    <w:rsid w:val="00426DE4"/>
    <w:rsid w:val="004279AE"/>
    <w:rsid w:val="00427E2B"/>
    <w:rsid w:val="004519CB"/>
    <w:rsid w:val="0045253E"/>
    <w:rsid w:val="00455532"/>
    <w:rsid w:val="0045571E"/>
    <w:rsid w:val="00457136"/>
    <w:rsid w:val="00457D1E"/>
    <w:rsid w:val="00464853"/>
    <w:rsid w:val="004662D4"/>
    <w:rsid w:val="00471C0E"/>
    <w:rsid w:val="00475518"/>
    <w:rsid w:val="00477AFA"/>
    <w:rsid w:val="004830B8"/>
    <w:rsid w:val="004A2AAB"/>
    <w:rsid w:val="004A3B02"/>
    <w:rsid w:val="004A587F"/>
    <w:rsid w:val="004B0B64"/>
    <w:rsid w:val="004B3342"/>
    <w:rsid w:val="004B3E34"/>
    <w:rsid w:val="004C0B21"/>
    <w:rsid w:val="004C15F1"/>
    <w:rsid w:val="004C3E23"/>
    <w:rsid w:val="004C5002"/>
    <w:rsid w:val="004C6415"/>
    <w:rsid w:val="004D026C"/>
    <w:rsid w:val="004D7A31"/>
    <w:rsid w:val="004E3892"/>
    <w:rsid w:val="004E7FE8"/>
    <w:rsid w:val="004F3FF7"/>
    <w:rsid w:val="00501B2D"/>
    <w:rsid w:val="00502288"/>
    <w:rsid w:val="00503EE5"/>
    <w:rsid w:val="00515785"/>
    <w:rsid w:val="00515D70"/>
    <w:rsid w:val="00523ACB"/>
    <w:rsid w:val="005243BC"/>
    <w:rsid w:val="005348F4"/>
    <w:rsid w:val="00536111"/>
    <w:rsid w:val="00542306"/>
    <w:rsid w:val="00543F6F"/>
    <w:rsid w:val="005446DE"/>
    <w:rsid w:val="00553E8F"/>
    <w:rsid w:val="005567BF"/>
    <w:rsid w:val="00562948"/>
    <w:rsid w:val="00562FEF"/>
    <w:rsid w:val="0056477B"/>
    <w:rsid w:val="00572A3C"/>
    <w:rsid w:val="00575468"/>
    <w:rsid w:val="00576A20"/>
    <w:rsid w:val="00581914"/>
    <w:rsid w:val="00595C71"/>
    <w:rsid w:val="0059739A"/>
    <w:rsid w:val="005A154B"/>
    <w:rsid w:val="005A4D3C"/>
    <w:rsid w:val="005A7069"/>
    <w:rsid w:val="005A7769"/>
    <w:rsid w:val="005B1F7E"/>
    <w:rsid w:val="005B4426"/>
    <w:rsid w:val="005B5903"/>
    <w:rsid w:val="005B638A"/>
    <w:rsid w:val="005C078F"/>
    <w:rsid w:val="005C23DE"/>
    <w:rsid w:val="005C2742"/>
    <w:rsid w:val="005C68B4"/>
    <w:rsid w:val="005C6BC5"/>
    <w:rsid w:val="005C722C"/>
    <w:rsid w:val="005E1A77"/>
    <w:rsid w:val="005E1DE7"/>
    <w:rsid w:val="005E3F24"/>
    <w:rsid w:val="005E554D"/>
    <w:rsid w:val="005F2F6F"/>
    <w:rsid w:val="005F4B0C"/>
    <w:rsid w:val="005F74B2"/>
    <w:rsid w:val="0060118D"/>
    <w:rsid w:val="00604FEF"/>
    <w:rsid w:val="0060585C"/>
    <w:rsid w:val="006067F9"/>
    <w:rsid w:val="0061019E"/>
    <w:rsid w:val="00617CFF"/>
    <w:rsid w:val="00641896"/>
    <w:rsid w:val="0064233B"/>
    <w:rsid w:val="006438A6"/>
    <w:rsid w:val="00644825"/>
    <w:rsid w:val="00645234"/>
    <w:rsid w:val="00650130"/>
    <w:rsid w:val="00655549"/>
    <w:rsid w:val="006575CE"/>
    <w:rsid w:val="00662CA2"/>
    <w:rsid w:val="00692D3C"/>
    <w:rsid w:val="00692D6D"/>
    <w:rsid w:val="00693D98"/>
    <w:rsid w:val="006972BF"/>
    <w:rsid w:val="00697D96"/>
    <w:rsid w:val="006A09A5"/>
    <w:rsid w:val="006A37D2"/>
    <w:rsid w:val="006A3E53"/>
    <w:rsid w:val="006A6C91"/>
    <w:rsid w:val="006B3282"/>
    <w:rsid w:val="006B4FCC"/>
    <w:rsid w:val="006C1C17"/>
    <w:rsid w:val="006C56A6"/>
    <w:rsid w:val="006E3B8A"/>
    <w:rsid w:val="006E634D"/>
    <w:rsid w:val="00700944"/>
    <w:rsid w:val="00701E2D"/>
    <w:rsid w:val="00712535"/>
    <w:rsid w:val="007126DA"/>
    <w:rsid w:val="00731B17"/>
    <w:rsid w:val="007504F2"/>
    <w:rsid w:val="00763AFC"/>
    <w:rsid w:val="00765753"/>
    <w:rsid w:val="00766713"/>
    <w:rsid w:val="00774E28"/>
    <w:rsid w:val="00780B59"/>
    <w:rsid w:val="00791548"/>
    <w:rsid w:val="007A7C06"/>
    <w:rsid w:val="007B6B93"/>
    <w:rsid w:val="007C7185"/>
    <w:rsid w:val="007D53B9"/>
    <w:rsid w:val="007D5B88"/>
    <w:rsid w:val="007E3D01"/>
    <w:rsid w:val="007F19C0"/>
    <w:rsid w:val="007F4F0C"/>
    <w:rsid w:val="007F7CF6"/>
    <w:rsid w:val="00800744"/>
    <w:rsid w:val="00807833"/>
    <w:rsid w:val="00823068"/>
    <w:rsid w:val="00826F76"/>
    <w:rsid w:val="00827857"/>
    <w:rsid w:val="00832D0F"/>
    <w:rsid w:val="00840876"/>
    <w:rsid w:val="00841EAD"/>
    <w:rsid w:val="00844FA8"/>
    <w:rsid w:val="008544CE"/>
    <w:rsid w:val="0085726D"/>
    <w:rsid w:val="0086006A"/>
    <w:rsid w:val="00863A3F"/>
    <w:rsid w:val="0086694B"/>
    <w:rsid w:val="008709A1"/>
    <w:rsid w:val="00874DCA"/>
    <w:rsid w:val="00883978"/>
    <w:rsid w:val="00887681"/>
    <w:rsid w:val="00887E54"/>
    <w:rsid w:val="008A04AA"/>
    <w:rsid w:val="008A2834"/>
    <w:rsid w:val="008A2F35"/>
    <w:rsid w:val="008A5551"/>
    <w:rsid w:val="008A6A00"/>
    <w:rsid w:val="008B02D0"/>
    <w:rsid w:val="008B0A9F"/>
    <w:rsid w:val="008B5F5E"/>
    <w:rsid w:val="008C25C2"/>
    <w:rsid w:val="008C29C0"/>
    <w:rsid w:val="008C42C5"/>
    <w:rsid w:val="008C5DC6"/>
    <w:rsid w:val="008D0C31"/>
    <w:rsid w:val="008D24D3"/>
    <w:rsid w:val="008E4498"/>
    <w:rsid w:val="008E4504"/>
    <w:rsid w:val="008F450A"/>
    <w:rsid w:val="00905AF2"/>
    <w:rsid w:val="009230FA"/>
    <w:rsid w:val="00942275"/>
    <w:rsid w:val="0096432B"/>
    <w:rsid w:val="009703A0"/>
    <w:rsid w:val="009708EF"/>
    <w:rsid w:val="0097190C"/>
    <w:rsid w:val="009720C3"/>
    <w:rsid w:val="00981BA8"/>
    <w:rsid w:val="00993B63"/>
    <w:rsid w:val="009B0497"/>
    <w:rsid w:val="009B0C98"/>
    <w:rsid w:val="009B4C19"/>
    <w:rsid w:val="009C3322"/>
    <w:rsid w:val="009C3D2E"/>
    <w:rsid w:val="009C3E69"/>
    <w:rsid w:val="009D19CA"/>
    <w:rsid w:val="009D56EA"/>
    <w:rsid w:val="009E30FD"/>
    <w:rsid w:val="009E4193"/>
    <w:rsid w:val="009E5DB8"/>
    <w:rsid w:val="009E70B9"/>
    <w:rsid w:val="009E78A7"/>
    <w:rsid w:val="00A00516"/>
    <w:rsid w:val="00A01007"/>
    <w:rsid w:val="00A031D0"/>
    <w:rsid w:val="00A073C3"/>
    <w:rsid w:val="00A43D00"/>
    <w:rsid w:val="00A52425"/>
    <w:rsid w:val="00A63340"/>
    <w:rsid w:val="00A649DA"/>
    <w:rsid w:val="00A71740"/>
    <w:rsid w:val="00A74476"/>
    <w:rsid w:val="00A87B4F"/>
    <w:rsid w:val="00AA134B"/>
    <w:rsid w:val="00AA7231"/>
    <w:rsid w:val="00AA7927"/>
    <w:rsid w:val="00AB4B66"/>
    <w:rsid w:val="00AC0287"/>
    <w:rsid w:val="00AC1439"/>
    <w:rsid w:val="00AC1FA2"/>
    <w:rsid w:val="00AC438D"/>
    <w:rsid w:val="00AD1285"/>
    <w:rsid w:val="00AD3572"/>
    <w:rsid w:val="00B037B3"/>
    <w:rsid w:val="00B07388"/>
    <w:rsid w:val="00B12C27"/>
    <w:rsid w:val="00B22E2B"/>
    <w:rsid w:val="00B4212C"/>
    <w:rsid w:val="00B45536"/>
    <w:rsid w:val="00B46F50"/>
    <w:rsid w:val="00B61425"/>
    <w:rsid w:val="00B75E21"/>
    <w:rsid w:val="00B803ED"/>
    <w:rsid w:val="00B849CE"/>
    <w:rsid w:val="00B87E74"/>
    <w:rsid w:val="00B9113D"/>
    <w:rsid w:val="00B9759C"/>
    <w:rsid w:val="00BA5DCA"/>
    <w:rsid w:val="00BB6AD0"/>
    <w:rsid w:val="00BC094F"/>
    <w:rsid w:val="00BC2015"/>
    <w:rsid w:val="00BD6770"/>
    <w:rsid w:val="00BE3B18"/>
    <w:rsid w:val="00BE4C6A"/>
    <w:rsid w:val="00BE6FFC"/>
    <w:rsid w:val="00BF2011"/>
    <w:rsid w:val="00C029D7"/>
    <w:rsid w:val="00C07B28"/>
    <w:rsid w:val="00C1011C"/>
    <w:rsid w:val="00C130F2"/>
    <w:rsid w:val="00C14AED"/>
    <w:rsid w:val="00C2388F"/>
    <w:rsid w:val="00C3390F"/>
    <w:rsid w:val="00C34989"/>
    <w:rsid w:val="00C359F7"/>
    <w:rsid w:val="00C43D7C"/>
    <w:rsid w:val="00C447CD"/>
    <w:rsid w:val="00C46639"/>
    <w:rsid w:val="00C517EF"/>
    <w:rsid w:val="00C52840"/>
    <w:rsid w:val="00C531CB"/>
    <w:rsid w:val="00C534CD"/>
    <w:rsid w:val="00C566FB"/>
    <w:rsid w:val="00C63AED"/>
    <w:rsid w:val="00C65628"/>
    <w:rsid w:val="00C67AD9"/>
    <w:rsid w:val="00C67D94"/>
    <w:rsid w:val="00C723B7"/>
    <w:rsid w:val="00C72B6E"/>
    <w:rsid w:val="00C81568"/>
    <w:rsid w:val="00C852E0"/>
    <w:rsid w:val="00C87C4C"/>
    <w:rsid w:val="00C907F4"/>
    <w:rsid w:val="00C97D4E"/>
    <w:rsid w:val="00CA2CA9"/>
    <w:rsid w:val="00CA571D"/>
    <w:rsid w:val="00CB1356"/>
    <w:rsid w:val="00CB3D90"/>
    <w:rsid w:val="00CC18FF"/>
    <w:rsid w:val="00CC1B58"/>
    <w:rsid w:val="00CC34CE"/>
    <w:rsid w:val="00CC7209"/>
    <w:rsid w:val="00CD521A"/>
    <w:rsid w:val="00CD583C"/>
    <w:rsid w:val="00CD6B4F"/>
    <w:rsid w:val="00CE1166"/>
    <w:rsid w:val="00CE1DF2"/>
    <w:rsid w:val="00CE6A8D"/>
    <w:rsid w:val="00CF2319"/>
    <w:rsid w:val="00CF51E6"/>
    <w:rsid w:val="00D0213F"/>
    <w:rsid w:val="00D05DFC"/>
    <w:rsid w:val="00D31978"/>
    <w:rsid w:val="00D32316"/>
    <w:rsid w:val="00D36E44"/>
    <w:rsid w:val="00D41AC3"/>
    <w:rsid w:val="00D42E4C"/>
    <w:rsid w:val="00D46992"/>
    <w:rsid w:val="00D51854"/>
    <w:rsid w:val="00D54343"/>
    <w:rsid w:val="00D74B48"/>
    <w:rsid w:val="00D76A80"/>
    <w:rsid w:val="00D80EF9"/>
    <w:rsid w:val="00D90373"/>
    <w:rsid w:val="00D9531D"/>
    <w:rsid w:val="00DA686B"/>
    <w:rsid w:val="00DB01DD"/>
    <w:rsid w:val="00DB1BF6"/>
    <w:rsid w:val="00DB214D"/>
    <w:rsid w:val="00DB2D7C"/>
    <w:rsid w:val="00DB5D9E"/>
    <w:rsid w:val="00DC05CE"/>
    <w:rsid w:val="00DE3CA6"/>
    <w:rsid w:val="00DF5235"/>
    <w:rsid w:val="00E0081E"/>
    <w:rsid w:val="00E00B13"/>
    <w:rsid w:val="00E019C7"/>
    <w:rsid w:val="00E056A5"/>
    <w:rsid w:val="00E1500E"/>
    <w:rsid w:val="00E17B2A"/>
    <w:rsid w:val="00E20700"/>
    <w:rsid w:val="00E231BD"/>
    <w:rsid w:val="00E27065"/>
    <w:rsid w:val="00E30BCE"/>
    <w:rsid w:val="00E30BFD"/>
    <w:rsid w:val="00E30FDE"/>
    <w:rsid w:val="00E40305"/>
    <w:rsid w:val="00E42EFF"/>
    <w:rsid w:val="00E45AB8"/>
    <w:rsid w:val="00E57872"/>
    <w:rsid w:val="00E60EAB"/>
    <w:rsid w:val="00E653DF"/>
    <w:rsid w:val="00E673FD"/>
    <w:rsid w:val="00E95883"/>
    <w:rsid w:val="00EA0802"/>
    <w:rsid w:val="00EA358D"/>
    <w:rsid w:val="00EA63D2"/>
    <w:rsid w:val="00EC22C5"/>
    <w:rsid w:val="00EC2AF1"/>
    <w:rsid w:val="00EC713A"/>
    <w:rsid w:val="00ED0368"/>
    <w:rsid w:val="00ED7996"/>
    <w:rsid w:val="00EE011F"/>
    <w:rsid w:val="00EE1435"/>
    <w:rsid w:val="00EE502D"/>
    <w:rsid w:val="00EF052E"/>
    <w:rsid w:val="00F039CF"/>
    <w:rsid w:val="00F04A53"/>
    <w:rsid w:val="00F054C6"/>
    <w:rsid w:val="00F10D21"/>
    <w:rsid w:val="00F17192"/>
    <w:rsid w:val="00F1732A"/>
    <w:rsid w:val="00F267ED"/>
    <w:rsid w:val="00F3160B"/>
    <w:rsid w:val="00F44555"/>
    <w:rsid w:val="00F47E74"/>
    <w:rsid w:val="00F526C8"/>
    <w:rsid w:val="00F529EF"/>
    <w:rsid w:val="00F65026"/>
    <w:rsid w:val="00F666A3"/>
    <w:rsid w:val="00F74120"/>
    <w:rsid w:val="00F81BDA"/>
    <w:rsid w:val="00F844A2"/>
    <w:rsid w:val="00F84F0D"/>
    <w:rsid w:val="00F8564F"/>
    <w:rsid w:val="00FA2948"/>
    <w:rsid w:val="00FA4226"/>
    <w:rsid w:val="00FB731A"/>
    <w:rsid w:val="00FC0A8C"/>
    <w:rsid w:val="00FC15E2"/>
    <w:rsid w:val="00FD2E52"/>
    <w:rsid w:val="00FD344F"/>
    <w:rsid w:val="00FE21C8"/>
    <w:rsid w:val="00FE2D32"/>
    <w:rsid w:val="00FE6755"/>
    <w:rsid w:val="00FF0CE1"/>
    <w:rsid w:val="00FF1A6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DBB8D8"/>
  <w15:chartTrackingRefBased/>
  <w15:docId w15:val="{4281012F-617F-47A4-B584-5339E4CD4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3A3F"/>
    <w:pPr>
      <w:bidi/>
      <w:spacing w:after="120" w:line="360" w:lineRule="auto"/>
      <w:jc w:val="both"/>
    </w:pPr>
    <w:rPr>
      <w:rFonts w:ascii="David" w:eastAsia="Times New Roman" w:hAnsi="David" w:cs="David"/>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4B48"/>
    <w:pPr>
      <w:tabs>
        <w:tab w:val="center" w:pos="4153"/>
        <w:tab w:val="right" w:pos="8306"/>
      </w:tabs>
      <w:spacing w:after="0" w:line="240" w:lineRule="auto"/>
    </w:pPr>
  </w:style>
  <w:style w:type="character" w:customStyle="1" w:styleId="HeaderChar">
    <w:name w:val="Header Char"/>
    <w:basedOn w:val="DefaultParagraphFont"/>
    <w:link w:val="Header"/>
    <w:uiPriority w:val="99"/>
    <w:rsid w:val="00D74B48"/>
  </w:style>
  <w:style w:type="paragraph" w:styleId="Footer">
    <w:name w:val="footer"/>
    <w:basedOn w:val="Normal"/>
    <w:link w:val="FooterChar"/>
    <w:uiPriority w:val="99"/>
    <w:unhideWhenUsed/>
    <w:rsid w:val="00D74B48"/>
    <w:pPr>
      <w:tabs>
        <w:tab w:val="center" w:pos="4153"/>
        <w:tab w:val="right" w:pos="8306"/>
      </w:tabs>
      <w:spacing w:after="0" w:line="240" w:lineRule="auto"/>
    </w:pPr>
  </w:style>
  <w:style w:type="character" w:customStyle="1" w:styleId="FooterChar">
    <w:name w:val="Footer Char"/>
    <w:basedOn w:val="DefaultParagraphFont"/>
    <w:link w:val="Footer"/>
    <w:uiPriority w:val="99"/>
    <w:rsid w:val="00D74B48"/>
  </w:style>
  <w:style w:type="paragraph" w:styleId="ListParagraph">
    <w:name w:val="List Paragraph"/>
    <w:basedOn w:val="Normal"/>
    <w:link w:val="ListParagraphChar"/>
    <w:uiPriority w:val="34"/>
    <w:qFormat/>
    <w:rsid w:val="00863A3F"/>
    <w:pPr>
      <w:ind w:left="720"/>
      <w:contextualSpacing/>
    </w:pPr>
  </w:style>
  <w:style w:type="paragraph" w:styleId="FootnoteText">
    <w:name w:val="footnote text"/>
    <w:basedOn w:val="Normal"/>
    <w:link w:val="FootnoteTextChar"/>
    <w:uiPriority w:val="99"/>
    <w:unhideWhenUsed/>
    <w:rsid w:val="00863A3F"/>
    <w:pPr>
      <w:spacing w:after="0" w:line="240" w:lineRule="auto"/>
    </w:pPr>
    <w:rPr>
      <w:sz w:val="20"/>
      <w:szCs w:val="20"/>
    </w:rPr>
  </w:style>
  <w:style w:type="character" w:customStyle="1" w:styleId="FootnoteTextChar">
    <w:name w:val="Footnote Text Char"/>
    <w:basedOn w:val="DefaultParagraphFont"/>
    <w:link w:val="FootnoteText"/>
    <w:uiPriority w:val="99"/>
    <w:rsid w:val="00863A3F"/>
    <w:rPr>
      <w:rFonts w:ascii="David" w:eastAsia="Times New Roman" w:hAnsi="David" w:cs="David"/>
      <w:sz w:val="20"/>
      <w:szCs w:val="20"/>
    </w:rPr>
  </w:style>
  <w:style w:type="character" w:styleId="FootnoteReference">
    <w:name w:val="footnote reference"/>
    <w:basedOn w:val="DefaultParagraphFont"/>
    <w:uiPriority w:val="99"/>
    <w:unhideWhenUsed/>
    <w:rsid w:val="00863A3F"/>
    <w:rPr>
      <w:vertAlign w:val="superscript"/>
    </w:rPr>
  </w:style>
  <w:style w:type="character" w:styleId="Hyperlink">
    <w:name w:val="Hyperlink"/>
    <w:uiPriority w:val="99"/>
    <w:rsid w:val="00863A3F"/>
    <w:rPr>
      <w:color w:val="0000FF"/>
      <w:u w:val="single"/>
    </w:rPr>
  </w:style>
  <w:style w:type="character" w:styleId="PlaceholderText">
    <w:name w:val="Placeholder Text"/>
    <w:basedOn w:val="DefaultParagraphFont"/>
    <w:uiPriority w:val="99"/>
    <w:semiHidden/>
    <w:rsid w:val="00863A3F"/>
    <w:rPr>
      <w:color w:val="808080"/>
    </w:rPr>
  </w:style>
  <w:style w:type="character" w:customStyle="1" w:styleId="1">
    <w:name w:val="סגנון1"/>
    <w:basedOn w:val="DefaultParagraphFont"/>
    <w:uiPriority w:val="1"/>
    <w:rsid w:val="00863A3F"/>
    <w:rPr>
      <w:rFonts w:ascii="David" w:hAnsi="David" w:cs="David"/>
      <w:b/>
      <w:bCs/>
      <w:sz w:val="24"/>
      <w:szCs w:val="24"/>
      <w:u w:val="single"/>
    </w:rPr>
  </w:style>
  <w:style w:type="character" w:customStyle="1" w:styleId="20">
    <w:name w:val="סגנון2"/>
    <w:basedOn w:val="DefaultParagraphFont"/>
    <w:uiPriority w:val="1"/>
    <w:rsid w:val="00863A3F"/>
    <w:rPr>
      <w:rFonts w:ascii="David" w:eastAsia="David" w:hAnsi="David" w:cs="David"/>
      <w:sz w:val="20"/>
      <w:szCs w:val="20"/>
    </w:rPr>
  </w:style>
  <w:style w:type="character" w:customStyle="1" w:styleId="3">
    <w:name w:val="סגנון3"/>
    <w:basedOn w:val="DefaultParagraphFont"/>
    <w:uiPriority w:val="1"/>
    <w:rsid w:val="00863A3F"/>
    <w:rPr>
      <w:rFonts w:ascii="David" w:eastAsia="David" w:hAnsi="David" w:cs="David"/>
      <w:b/>
      <w:bCs/>
      <w:sz w:val="24"/>
      <w:szCs w:val="24"/>
    </w:rPr>
  </w:style>
  <w:style w:type="character" w:customStyle="1" w:styleId="5">
    <w:name w:val="סגנון5"/>
    <w:basedOn w:val="DefaultParagraphFont"/>
    <w:uiPriority w:val="1"/>
    <w:rsid w:val="00863A3F"/>
    <w:rPr>
      <w:rFonts w:ascii="David" w:hAnsi="David" w:cs="David"/>
      <w:sz w:val="20"/>
      <w:szCs w:val="20"/>
    </w:rPr>
  </w:style>
  <w:style w:type="character" w:customStyle="1" w:styleId="6">
    <w:name w:val="סגנון6"/>
    <w:basedOn w:val="DefaultParagraphFont"/>
    <w:uiPriority w:val="1"/>
    <w:rsid w:val="00863A3F"/>
    <w:rPr>
      <w:rFonts w:ascii="David" w:eastAsia="David" w:hAnsi="David" w:cs="David"/>
      <w:b/>
      <w:bCs/>
      <w:sz w:val="24"/>
      <w:szCs w:val="24"/>
      <w:u w:val="single"/>
    </w:rPr>
  </w:style>
  <w:style w:type="paragraph" w:customStyle="1" w:styleId="2">
    <w:name w:val="2. מס'+אב"/>
    <w:basedOn w:val="ListParagraph"/>
    <w:link w:val="21"/>
    <w:qFormat/>
    <w:rsid w:val="00863A3F"/>
    <w:pPr>
      <w:numPr>
        <w:numId w:val="1"/>
      </w:numPr>
      <w:contextualSpacing w:val="0"/>
    </w:pPr>
  </w:style>
  <w:style w:type="character" w:customStyle="1" w:styleId="ListParagraphChar">
    <w:name w:val="List Paragraph Char"/>
    <w:basedOn w:val="DefaultParagraphFont"/>
    <w:link w:val="ListParagraph"/>
    <w:uiPriority w:val="34"/>
    <w:rsid w:val="00863A3F"/>
    <w:rPr>
      <w:rFonts w:ascii="David" w:eastAsia="Times New Roman" w:hAnsi="David" w:cs="David"/>
      <w:sz w:val="24"/>
      <w:szCs w:val="24"/>
    </w:rPr>
  </w:style>
  <w:style w:type="character" w:customStyle="1" w:styleId="21">
    <w:name w:val="2. מס'+אב תו"/>
    <w:basedOn w:val="ListParagraphChar"/>
    <w:link w:val="2"/>
    <w:rsid w:val="00863A3F"/>
    <w:rPr>
      <w:rFonts w:ascii="David" w:eastAsia="Times New Roman" w:hAnsi="David" w:cs="David"/>
      <w:sz w:val="24"/>
      <w:szCs w:val="24"/>
    </w:rPr>
  </w:style>
  <w:style w:type="paragraph" w:customStyle="1" w:styleId="p00">
    <w:name w:val="p00"/>
    <w:basedOn w:val="Normal"/>
    <w:rsid w:val="003F4875"/>
    <w:pPr>
      <w:bidi w:val="0"/>
      <w:spacing w:before="100" w:beforeAutospacing="1" w:after="100" w:afterAutospacing="1" w:line="240" w:lineRule="auto"/>
      <w:jc w:val="left"/>
    </w:pPr>
    <w:rPr>
      <w:rFonts w:ascii="Times New Roman" w:hAnsi="Times New Roman" w:cs="Times New Roman"/>
    </w:rPr>
  </w:style>
  <w:style w:type="character" w:customStyle="1" w:styleId="big-number">
    <w:name w:val="big-number"/>
    <w:basedOn w:val="DefaultParagraphFont"/>
    <w:rsid w:val="003F4875"/>
  </w:style>
  <w:style w:type="character" w:customStyle="1" w:styleId="default">
    <w:name w:val="default"/>
    <w:basedOn w:val="DefaultParagraphFont"/>
    <w:rsid w:val="003F4875"/>
  </w:style>
  <w:style w:type="character" w:styleId="CommentReference">
    <w:name w:val="annotation reference"/>
    <w:basedOn w:val="DefaultParagraphFont"/>
    <w:uiPriority w:val="99"/>
    <w:semiHidden/>
    <w:unhideWhenUsed/>
    <w:rsid w:val="008A5551"/>
    <w:rPr>
      <w:sz w:val="16"/>
      <w:szCs w:val="16"/>
    </w:rPr>
  </w:style>
  <w:style w:type="paragraph" w:styleId="CommentText">
    <w:name w:val="annotation text"/>
    <w:basedOn w:val="Normal"/>
    <w:link w:val="CommentTextChar"/>
    <w:uiPriority w:val="99"/>
    <w:semiHidden/>
    <w:unhideWhenUsed/>
    <w:rsid w:val="008A5551"/>
    <w:pPr>
      <w:spacing w:line="240" w:lineRule="auto"/>
    </w:pPr>
    <w:rPr>
      <w:sz w:val="20"/>
      <w:szCs w:val="20"/>
    </w:rPr>
  </w:style>
  <w:style w:type="character" w:customStyle="1" w:styleId="CommentTextChar">
    <w:name w:val="Comment Text Char"/>
    <w:basedOn w:val="DefaultParagraphFont"/>
    <w:link w:val="CommentText"/>
    <w:uiPriority w:val="99"/>
    <w:semiHidden/>
    <w:rsid w:val="008A5551"/>
    <w:rPr>
      <w:rFonts w:ascii="David" w:eastAsia="Times New Roman" w:hAnsi="David" w:cs="David"/>
      <w:sz w:val="20"/>
      <w:szCs w:val="20"/>
    </w:rPr>
  </w:style>
  <w:style w:type="paragraph" w:styleId="CommentSubject">
    <w:name w:val="annotation subject"/>
    <w:basedOn w:val="CommentText"/>
    <w:next w:val="CommentText"/>
    <w:link w:val="CommentSubjectChar"/>
    <w:uiPriority w:val="99"/>
    <w:semiHidden/>
    <w:unhideWhenUsed/>
    <w:rsid w:val="008A5551"/>
    <w:rPr>
      <w:b/>
      <w:bCs/>
    </w:rPr>
  </w:style>
  <w:style w:type="character" w:customStyle="1" w:styleId="CommentSubjectChar">
    <w:name w:val="Comment Subject Char"/>
    <w:basedOn w:val="CommentTextChar"/>
    <w:link w:val="CommentSubject"/>
    <w:uiPriority w:val="99"/>
    <w:semiHidden/>
    <w:rsid w:val="008A5551"/>
    <w:rPr>
      <w:rFonts w:ascii="David" w:eastAsia="Times New Roman" w:hAnsi="David" w:cs="David"/>
      <w:b/>
      <w:bCs/>
      <w:sz w:val="20"/>
      <w:szCs w:val="20"/>
    </w:rPr>
  </w:style>
  <w:style w:type="paragraph" w:styleId="BalloonText">
    <w:name w:val="Balloon Text"/>
    <w:basedOn w:val="Normal"/>
    <w:link w:val="BalloonTextChar"/>
    <w:uiPriority w:val="99"/>
    <w:semiHidden/>
    <w:unhideWhenUsed/>
    <w:rsid w:val="008A5551"/>
    <w:pPr>
      <w:spacing w:after="0" w:line="240" w:lineRule="auto"/>
    </w:pPr>
    <w:rPr>
      <w:rFonts w:ascii="Tahoma" w:hAnsi="Tahoma" w:cs="Tahoma"/>
      <w:sz w:val="18"/>
      <w:szCs w:val="18"/>
    </w:rPr>
  </w:style>
  <w:style w:type="character" w:customStyle="1" w:styleId="BalloonTextChar">
    <w:name w:val="Balloon Text Char"/>
    <w:basedOn w:val="DefaultParagraphFont"/>
    <w:link w:val="BalloonText"/>
    <w:uiPriority w:val="99"/>
    <w:semiHidden/>
    <w:rsid w:val="008A5551"/>
    <w:rPr>
      <w:rFonts w:ascii="Tahoma" w:eastAsia="Times New Roman" w:hAnsi="Tahoma" w:cs="Tahoma"/>
      <w:sz w:val="18"/>
      <w:szCs w:val="18"/>
    </w:rPr>
  </w:style>
  <w:style w:type="paragraph" w:styleId="Revision">
    <w:name w:val="Revision"/>
    <w:hidden/>
    <w:uiPriority w:val="99"/>
    <w:semiHidden/>
    <w:rsid w:val="008E4504"/>
    <w:pPr>
      <w:spacing w:after="0" w:line="240" w:lineRule="auto"/>
    </w:pPr>
    <w:rPr>
      <w:rFonts w:ascii="David" w:eastAsia="Times New Roman" w:hAnsi="David" w:cs="Dav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42099">
      <w:bodyDiv w:val="1"/>
      <w:marLeft w:val="0"/>
      <w:marRight w:val="0"/>
      <w:marTop w:val="0"/>
      <w:marBottom w:val="0"/>
      <w:divBdr>
        <w:top w:val="none" w:sz="0" w:space="0" w:color="auto"/>
        <w:left w:val="none" w:sz="0" w:space="0" w:color="auto"/>
        <w:bottom w:val="none" w:sz="0" w:space="0" w:color="auto"/>
        <w:right w:val="none" w:sz="0" w:space="0" w:color="auto"/>
      </w:divBdr>
    </w:div>
    <w:div w:id="684793655">
      <w:bodyDiv w:val="1"/>
      <w:marLeft w:val="0"/>
      <w:marRight w:val="0"/>
      <w:marTop w:val="0"/>
      <w:marBottom w:val="0"/>
      <w:divBdr>
        <w:top w:val="none" w:sz="0" w:space="0" w:color="auto"/>
        <w:left w:val="none" w:sz="0" w:space="0" w:color="auto"/>
        <w:bottom w:val="none" w:sz="0" w:space="0" w:color="auto"/>
        <w:right w:val="none" w:sz="0" w:space="0" w:color="auto"/>
      </w:divBdr>
    </w:div>
    <w:div w:id="756636122">
      <w:bodyDiv w:val="1"/>
      <w:marLeft w:val="0"/>
      <w:marRight w:val="0"/>
      <w:marTop w:val="0"/>
      <w:marBottom w:val="0"/>
      <w:divBdr>
        <w:top w:val="none" w:sz="0" w:space="0" w:color="auto"/>
        <w:left w:val="none" w:sz="0" w:space="0" w:color="auto"/>
        <w:bottom w:val="none" w:sz="0" w:space="0" w:color="auto"/>
        <w:right w:val="none" w:sz="0" w:space="0" w:color="auto"/>
      </w:divBdr>
    </w:div>
    <w:div w:id="885994646">
      <w:bodyDiv w:val="1"/>
      <w:marLeft w:val="0"/>
      <w:marRight w:val="0"/>
      <w:marTop w:val="0"/>
      <w:marBottom w:val="0"/>
      <w:divBdr>
        <w:top w:val="none" w:sz="0" w:space="0" w:color="auto"/>
        <w:left w:val="none" w:sz="0" w:space="0" w:color="auto"/>
        <w:bottom w:val="none" w:sz="0" w:space="0" w:color="auto"/>
        <w:right w:val="none" w:sz="0" w:space="0" w:color="auto"/>
      </w:divBdr>
    </w:div>
    <w:div w:id="1396009153">
      <w:bodyDiv w:val="1"/>
      <w:marLeft w:val="0"/>
      <w:marRight w:val="0"/>
      <w:marTop w:val="0"/>
      <w:marBottom w:val="0"/>
      <w:divBdr>
        <w:top w:val="none" w:sz="0" w:space="0" w:color="auto"/>
        <w:left w:val="none" w:sz="0" w:space="0" w:color="auto"/>
        <w:bottom w:val="none" w:sz="0" w:space="0" w:color="auto"/>
        <w:right w:val="none" w:sz="0" w:space="0" w:color="auto"/>
      </w:divBdr>
    </w:div>
    <w:div w:id="1455295707">
      <w:bodyDiv w:val="1"/>
      <w:marLeft w:val="0"/>
      <w:marRight w:val="0"/>
      <w:marTop w:val="0"/>
      <w:marBottom w:val="0"/>
      <w:divBdr>
        <w:top w:val="none" w:sz="0" w:space="0" w:color="auto"/>
        <w:left w:val="none" w:sz="0" w:space="0" w:color="auto"/>
        <w:bottom w:val="none" w:sz="0" w:space="0" w:color="auto"/>
        <w:right w:val="none" w:sz="0" w:space="0" w:color="auto"/>
      </w:divBdr>
    </w:div>
    <w:div w:id="1506095481">
      <w:bodyDiv w:val="1"/>
      <w:marLeft w:val="0"/>
      <w:marRight w:val="0"/>
      <w:marTop w:val="0"/>
      <w:marBottom w:val="0"/>
      <w:divBdr>
        <w:top w:val="none" w:sz="0" w:space="0" w:color="auto"/>
        <w:left w:val="none" w:sz="0" w:space="0" w:color="auto"/>
        <w:bottom w:val="none" w:sz="0" w:space="0" w:color="auto"/>
        <w:right w:val="none" w:sz="0" w:space="0" w:color="auto"/>
      </w:divBdr>
    </w:div>
    <w:div w:id="211578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5.png"/><Relationship Id="rId18" Type="http://schemas.openxmlformats.org/officeDocument/2006/relationships/chart" Target="charts/chart2.xml"/><Relationship Id="rId26" Type="http://schemas.openxmlformats.org/officeDocument/2006/relationships/chart" Target="charts/chart10.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5.xm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chart" Target="charts/chart9.xml"/><Relationship Id="rId33" Type="http://schemas.openxmlformats.org/officeDocument/2006/relationships/chart" Target="charts/chart17.xm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chart" Target="charts/chart4.xml"/><Relationship Id="rId29" Type="http://schemas.openxmlformats.org/officeDocument/2006/relationships/chart" Target="charts/chart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chart" Target="charts/chart8.xml"/><Relationship Id="rId32" Type="http://schemas.openxmlformats.org/officeDocument/2006/relationships/chart" Target="charts/chart16.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of.gov.il/chiefecon/economyandresearch/doclib/skiracalcalit_270316.pdf" TargetMode="External"/><Relationship Id="rId23" Type="http://schemas.openxmlformats.org/officeDocument/2006/relationships/chart" Target="charts/chart7.xml"/><Relationship Id="rId28" Type="http://schemas.openxmlformats.org/officeDocument/2006/relationships/chart" Target="charts/chart12.xml"/><Relationship Id="rId36"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chart" Target="charts/chart3.xml"/><Relationship Id="rId31" Type="http://schemas.openxmlformats.org/officeDocument/2006/relationships/chart" Target="charts/chart15.xml"/><Relationship Id="rId4" Type="http://schemas.openxmlformats.org/officeDocument/2006/relationships/settings" Target="settings.xml"/><Relationship Id="rId9" Type="http://schemas.openxmlformats.org/officeDocument/2006/relationships/image" Target="media/image1.png"/><Relationship Id="rId14" Type="http://schemas.microsoft.com/office/2007/relationships/hdphoto" Target="media/hdphoto1.wdp"/><Relationship Id="rId22" Type="http://schemas.openxmlformats.org/officeDocument/2006/relationships/chart" Target="charts/chart6.xml"/><Relationship Id="rId27" Type="http://schemas.openxmlformats.org/officeDocument/2006/relationships/chart" Target="charts/chart11.xml"/><Relationship Id="rId30" Type="http://schemas.openxmlformats.org/officeDocument/2006/relationships/chart" Target="charts/chart14.xml"/><Relationship Id="rId35"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9.png"/></Relationships>
</file>

<file path=word/_rels/footnotes.xml.rels><?xml version="1.0" encoding="UTF-8" standalone="yes"?>
<Relationships xmlns="http://schemas.openxmlformats.org/package/2006/relationships"><Relationship Id="rId3" Type="http://schemas.openxmlformats.org/officeDocument/2006/relationships/hyperlink" Target="https://www.whitehouse.gov/briefing-room/presidential-actions/2021/07/09/executive-order-on-promoting-competition-in-the-american-economy/" TargetMode="External"/><Relationship Id="rId2" Type="http://schemas.openxmlformats.org/officeDocument/2006/relationships/hyperlink" Target="https://www.facebook.com/AccountingTLV/videos/496102758343680/?__so__=channel_tab&amp;__rv__=all_videos_card" TargetMode="External"/><Relationship Id="rId1" Type="http://schemas.openxmlformats.org/officeDocument/2006/relationships/hyperlink" Target="https://www.gov.il/he/departments/legalInfo/importstandarts" TargetMode="External"/><Relationship Id="rId6" Type="http://schemas.openxmlformats.org/officeDocument/2006/relationships/hyperlink" Target="https://regulator.online/2021/07/19/reg_building_blocks/" TargetMode="External"/><Relationship Id="rId5" Type="http://schemas.openxmlformats.org/officeDocument/2006/relationships/hyperlink" Target="https://inspection.canada.ca/about-cfia/acts-and-regulations/safe-and-responsive-regulatory-framework/outcome-based-regulations/eng/1545927831816/1545927832066" TargetMode="External"/><Relationship Id="rId4" Type="http://schemas.openxmlformats.org/officeDocument/2006/relationships/hyperlink" Target="https://www.fca.org.uk/news/speeches/outcomes-focussed-regulation-measure-succes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Moranmo\Downloads\file_62e81020-658b-49b0-9506-e76ae6588308.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danm\Desktop\&#1489;&#1505;&#1497;&#1505;%20&#1504;&#1514;&#1493;&#1504;&#1497;&#1501;%20&#1508;&#1497;&#1512;&#1493;&#1514;%20&#1497;&#1512;&#1511;&#1493;&#1514;%20&#1511;&#1502;&#1506;&#1493;&#1504;&#1488;&#1497;_&#1502;&#1506;&#1493;&#1489;&#1491;_&#1512;&#1490;&#1497;&#1513;&#1493;&#1514;.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danm\Desktop\&#1489;&#1505;&#1497;&#1505;%20&#1504;&#1514;&#1493;&#1504;&#1497;&#1501;%20&#1508;&#1497;&#1512;&#1493;&#1514;%20&#1497;&#1512;&#1511;&#1493;&#1514;%20&#1511;&#1502;&#1506;&#1493;&#1504;&#1488;&#1497;_&#1502;&#1506;&#1493;&#1489;&#1491;_&#1512;&#1490;&#1497;&#1513;&#1493;&#1514;.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danm\Desktop\&#1489;&#1505;&#1497;&#1505;%20&#1504;&#1514;&#1493;&#1504;&#1497;&#1501;%20&#1508;&#1497;&#1512;&#1493;&#1514;%20&#1497;&#1512;&#1511;&#1493;&#1514;%20&#1511;&#1502;&#1506;&#1493;&#1504;&#1488;&#1497;_&#1502;&#1506;&#1493;&#1489;&#1491;_&#1512;&#1490;&#1497;&#1513;&#1493;&#1514;.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C:\Users\danm\Desktop\&#1489;&#1505;&#1497;&#1505;%20&#1504;&#1514;&#1493;&#1504;&#1497;&#1501;%20&#1508;&#1497;&#1512;&#1493;&#1514;%20&#1497;&#1512;&#1511;&#1493;&#1514;%20&#1511;&#1502;&#1506;&#1493;&#1504;&#1488;&#1497;_&#1502;&#1506;&#1493;&#1489;&#1491;_&#1512;&#1490;&#1497;&#1513;&#1493;&#1514;.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C:\Users\danm\Desktop\&#1489;&#1505;&#1497;&#1505;%20&#1504;&#1514;&#1493;&#1504;&#1497;&#1501;%20&#1508;&#1497;&#1512;&#1493;&#1514;%20&#1497;&#1512;&#1511;&#1493;&#1514;%20&#1511;&#1502;&#1506;&#1493;&#1504;&#1488;&#1497;_&#1502;&#1506;&#1493;&#1489;&#1491;_&#1512;&#1490;&#1497;&#1513;&#1493;&#1514;.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C:\Users\danm\Desktop\&#1489;&#1505;&#1497;&#1505;%20&#1504;&#1514;&#1493;&#1504;&#1497;&#1501;%20&#1508;&#1497;&#1512;&#1493;&#1514;%20&#1497;&#1512;&#1511;&#1493;&#1514;%20&#1511;&#1502;&#1506;&#1493;&#1504;&#1488;&#1497;_&#1502;&#1506;&#1493;&#1489;&#1491;_&#1512;&#1490;&#1497;&#1513;&#1493;&#1514;.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C:\Users\danm\Desktop\&#1489;&#1505;&#1497;&#1505;%20&#1504;&#1514;&#1493;&#1504;&#1497;&#1501;%20&#1508;&#1497;&#1512;&#1493;&#1514;%20&#1497;&#1512;&#1511;&#1493;&#1514;%20&#1511;&#1502;&#1506;&#1493;&#1504;&#1488;&#1497;_&#1502;&#1506;&#1493;&#1489;&#1491;_&#1512;&#1490;&#1497;&#1513;&#1493;&#1514;.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C:\Users\danm\Desktop\&#1489;&#1505;&#1497;&#1505;%20&#1504;&#1514;&#1493;&#1504;&#1497;&#1501;%20&#1508;&#1497;&#1512;&#1493;&#1514;%20&#1497;&#1512;&#1511;&#1493;&#1514;%20&#1511;&#1502;&#1506;&#1493;&#1504;&#1488;&#1497;_&#1502;&#1506;&#1493;&#1489;&#1491;_&#1512;&#1490;&#1497;&#1513;&#1493;&#1514;.xlsx" TargetMode="External"/><Relationship Id="rId2" Type="http://schemas.microsoft.com/office/2011/relationships/chartColorStyle" Target="colors17.xml"/><Relationship Id="rId1" Type="http://schemas.microsoft.com/office/2011/relationships/chartStyle" Target="style17.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danm\Desktop\&#1489;&#1505;&#1497;&#1505;%20&#1504;&#1514;&#1493;&#1504;&#1497;&#1501;%20&#1508;&#1497;&#1512;&#1493;&#1514;%20&#1497;&#1512;&#1511;&#1493;&#1514;%20&#1511;&#1502;&#1506;&#1493;&#1504;&#1488;&#1497;_&#1502;&#1506;&#1493;&#1489;&#1491;_&#1512;&#1490;&#1497;&#1513;&#1493;&#151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danm\Desktop\&#1489;&#1505;&#1497;&#1505;%20&#1504;&#1514;&#1493;&#1504;&#1497;&#1501;%20&#1508;&#1497;&#1512;&#1493;&#1514;%20&#1497;&#1512;&#1511;&#1493;&#1514;%20&#1511;&#1502;&#1506;&#1493;&#1504;&#1488;&#1497;_&#1502;&#1506;&#1493;&#1489;&#1491;_&#1512;&#1490;&#1497;&#1513;&#1493;&#151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danm\Desktop\&#1489;&#1505;&#1497;&#1505;%20&#1504;&#1514;&#1493;&#1504;&#1497;&#1501;%20&#1508;&#1497;&#1512;&#1493;&#1514;%20&#1497;&#1512;&#1511;&#1493;&#1514;%20&#1511;&#1502;&#1506;&#1493;&#1504;&#1488;&#1497;_&#1502;&#1506;&#1493;&#1489;&#1491;_&#1512;&#1490;&#1497;&#1513;&#1493;&#151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danm\Desktop\&#1489;&#1505;&#1497;&#1505;%20&#1504;&#1514;&#1493;&#1504;&#1497;&#1501;%20&#1508;&#1497;&#1512;&#1493;&#1514;%20&#1497;&#1512;&#1511;&#1493;&#1514;%20&#1511;&#1502;&#1506;&#1493;&#1504;&#1488;&#1497;_&#1502;&#1506;&#1493;&#1489;&#1491;_&#1512;&#1490;&#1497;&#1513;&#1493;&#151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danm\Desktop\&#1489;&#1505;&#1497;&#1505;%20&#1504;&#1514;&#1493;&#1504;&#1497;&#1501;%20&#1508;&#1497;&#1512;&#1493;&#1514;%20&#1497;&#1512;&#1511;&#1493;&#1514;%20&#1511;&#1502;&#1506;&#1493;&#1504;&#1488;&#1497;_&#1502;&#1506;&#1493;&#1489;&#1491;_&#1512;&#1490;&#1497;&#1513;&#1493;&#1514;.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danm\Desktop\&#1489;&#1505;&#1497;&#1505;%20&#1504;&#1514;&#1493;&#1504;&#1497;&#1501;%20&#1508;&#1497;&#1512;&#1493;&#1514;%20&#1497;&#1512;&#1511;&#1493;&#1514;%20&#1511;&#1502;&#1506;&#1493;&#1504;&#1488;&#1497;_&#1502;&#1506;&#1493;&#1489;&#1491;_&#1512;&#1490;&#1497;&#1513;&#1493;&#1514;.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danm\Desktop\&#1489;&#1505;&#1497;&#1505;%20&#1504;&#1514;&#1493;&#1504;&#1497;&#1501;%20&#1508;&#1497;&#1512;&#1493;&#1514;%20&#1497;&#1512;&#1511;&#1493;&#1514;%20&#1511;&#1502;&#1506;&#1493;&#1504;&#1488;&#1497;_&#1502;&#1506;&#1493;&#1489;&#1491;_&#1512;&#1490;&#1497;&#1513;&#1493;&#1514;.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danm\Desktop\&#1489;&#1505;&#1497;&#1505;%20&#1504;&#1514;&#1493;&#1504;&#1497;&#1501;%20&#1508;&#1497;&#1512;&#1493;&#1514;%20&#1497;&#1512;&#1511;&#1493;&#1514;%20&#1511;&#1502;&#1506;&#1493;&#1504;&#1488;&#1497;_&#1502;&#1506;&#1493;&#1489;&#1491;_&#1512;&#1490;&#1497;&#1513;&#1493;&#1514;.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lef" panose="00000500000000000000" pitchFamily="2" charset="-79"/>
                <a:ea typeface="+mn-ea"/>
                <a:cs typeface="Alef" panose="00000500000000000000" pitchFamily="2" charset="-79"/>
              </a:defRPr>
            </a:pPr>
            <a:r>
              <a:rPr lang="he-IL"/>
              <a:t>מדדי המחירים</a:t>
            </a:r>
            <a:r>
              <a:rPr lang="en-US"/>
              <a:t>;</a:t>
            </a:r>
            <a:r>
              <a:rPr lang="he-IL"/>
              <a:t> ממוצע 2010=100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title>
    <c:autoTitleDeleted val="0"/>
    <c:plotArea>
      <c:layout/>
      <c:lineChart>
        <c:grouping val="standard"/>
        <c:varyColors val="0"/>
        <c:ser>
          <c:idx val="0"/>
          <c:order val="0"/>
          <c:tx>
            <c:strRef>
              <c:f>גיליון1!$S$22</c:f>
              <c:strCache>
                <c:ptCount val="1"/>
                <c:pt idx="0">
                  <c:v>מדד המחירים לצרכן</c:v>
                </c:pt>
              </c:strCache>
            </c:strRef>
          </c:tx>
          <c:spPr>
            <a:ln w="28575" cap="rnd">
              <a:solidFill>
                <a:schemeClr val="accent1"/>
              </a:solidFill>
              <a:round/>
            </a:ln>
            <a:effectLst/>
          </c:spPr>
          <c:marker>
            <c:symbol val="none"/>
          </c:marker>
          <c:dLbls>
            <c:dLbl>
              <c:idx val="115"/>
              <c:layout>
                <c:manualLayout>
                  <c:x val="-4.2944788387864481E-2"/>
                  <c:y val="6.255586517881126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accent1"/>
                      </a:solidFill>
                      <a:latin typeface="Alef" panose="00000500000000000000" pitchFamily="2" charset="-79"/>
                      <a:ea typeface="+mn-ea"/>
                      <a:cs typeface="Alef" panose="00000500000000000000" pitchFamily="2" charset="-79"/>
                    </a:defRPr>
                  </a:pPr>
                  <a:endParaRPr lang="he-IL"/>
                </a:p>
              </c:txPr>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00-ECD5-4248-9976-DA728FFE3C0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lef" panose="00000500000000000000" pitchFamily="2" charset="-79"/>
                    <a:ea typeface="+mn-ea"/>
                    <a:cs typeface="Alef" panose="00000500000000000000" pitchFamily="2" charset="-79"/>
                  </a:defRPr>
                </a:pPr>
                <a:endParaRPr lang="he-IL"/>
              </a:p>
            </c:txPr>
            <c:showLegendKey val="0"/>
            <c:showVal val="0"/>
            <c:showCatName val="0"/>
            <c:showSerName val="0"/>
            <c:showPercent val="0"/>
            <c:showBubbleSize val="0"/>
            <c:extLst>
              <c:ext xmlns:c15="http://schemas.microsoft.com/office/drawing/2012/chart" uri="{CE6537A1-D6FC-4f65-9D91-7224C49458BB}">
                <c15:showLeaderLines val="0"/>
              </c:ext>
            </c:extLst>
          </c:dLbls>
          <c:cat>
            <c:multiLvlStrRef>
              <c:f>גיליון1!$Q$23:$R$160</c:f>
              <c:multiLvlStrCache>
                <c:ptCount val="138"/>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pt idx="66">
                    <c:v>7</c:v>
                  </c:pt>
                  <c:pt idx="67">
                    <c:v>8</c:v>
                  </c:pt>
                  <c:pt idx="68">
                    <c:v>9</c:v>
                  </c:pt>
                  <c:pt idx="69">
                    <c:v>10</c:v>
                  </c:pt>
                  <c:pt idx="70">
                    <c:v>11</c:v>
                  </c:pt>
                  <c:pt idx="71">
                    <c:v>12</c:v>
                  </c:pt>
                  <c:pt idx="72">
                    <c:v>1</c:v>
                  </c:pt>
                  <c:pt idx="73">
                    <c:v>2</c:v>
                  </c:pt>
                  <c:pt idx="74">
                    <c:v>3</c:v>
                  </c:pt>
                  <c:pt idx="75">
                    <c:v>4</c:v>
                  </c:pt>
                  <c:pt idx="76">
                    <c:v>5</c:v>
                  </c:pt>
                  <c:pt idx="77">
                    <c:v>6</c:v>
                  </c:pt>
                  <c:pt idx="78">
                    <c:v>7</c:v>
                  </c:pt>
                  <c:pt idx="79">
                    <c:v>8</c:v>
                  </c:pt>
                  <c:pt idx="80">
                    <c:v>9</c:v>
                  </c:pt>
                  <c:pt idx="81">
                    <c:v>10</c:v>
                  </c:pt>
                  <c:pt idx="82">
                    <c:v>11</c:v>
                  </c:pt>
                  <c:pt idx="83">
                    <c:v>12</c:v>
                  </c:pt>
                  <c:pt idx="84">
                    <c:v>1</c:v>
                  </c:pt>
                  <c:pt idx="85">
                    <c:v>2</c:v>
                  </c:pt>
                  <c:pt idx="86">
                    <c:v>3</c:v>
                  </c:pt>
                  <c:pt idx="87">
                    <c:v>4</c:v>
                  </c:pt>
                  <c:pt idx="88">
                    <c:v>5</c:v>
                  </c:pt>
                  <c:pt idx="89">
                    <c:v>6</c:v>
                  </c:pt>
                  <c:pt idx="90">
                    <c:v>7</c:v>
                  </c:pt>
                  <c:pt idx="91">
                    <c:v>8</c:v>
                  </c:pt>
                  <c:pt idx="92">
                    <c:v>9</c:v>
                  </c:pt>
                  <c:pt idx="93">
                    <c:v>10</c:v>
                  </c:pt>
                  <c:pt idx="94">
                    <c:v>11</c:v>
                  </c:pt>
                  <c:pt idx="95">
                    <c:v>12</c:v>
                  </c:pt>
                  <c:pt idx="96">
                    <c:v>1</c:v>
                  </c:pt>
                  <c:pt idx="97">
                    <c:v>2</c:v>
                  </c:pt>
                  <c:pt idx="98">
                    <c:v>3</c:v>
                  </c:pt>
                  <c:pt idx="99">
                    <c:v>4</c:v>
                  </c:pt>
                  <c:pt idx="100">
                    <c:v>5</c:v>
                  </c:pt>
                  <c:pt idx="101">
                    <c:v>6</c:v>
                  </c:pt>
                  <c:pt idx="102">
                    <c:v>7</c:v>
                  </c:pt>
                  <c:pt idx="103">
                    <c:v>8</c:v>
                  </c:pt>
                  <c:pt idx="104">
                    <c:v>9</c:v>
                  </c:pt>
                  <c:pt idx="105">
                    <c:v>10</c:v>
                  </c:pt>
                  <c:pt idx="106">
                    <c:v>11</c:v>
                  </c:pt>
                  <c:pt idx="107">
                    <c:v>12</c:v>
                  </c:pt>
                  <c:pt idx="108">
                    <c:v>1</c:v>
                  </c:pt>
                  <c:pt idx="109">
                    <c:v>2</c:v>
                  </c:pt>
                  <c:pt idx="110">
                    <c:v>3</c:v>
                  </c:pt>
                  <c:pt idx="111">
                    <c:v>4</c:v>
                  </c:pt>
                  <c:pt idx="112">
                    <c:v>5</c:v>
                  </c:pt>
                  <c:pt idx="113">
                    <c:v>6</c:v>
                  </c:pt>
                  <c:pt idx="114">
                    <c:v>7</c:v>
                  </c:pt>
                  <c:pt idx="115">
                    <c:v>8</c:v>
                  </c:pt>
                  <c:pt idx="116">
                    <c:v>9</c:v>
                  </c:pt>
                  <c:pt idx="117">
                    <c:v>10</c:v>
                  </c:pt>
                  <c:pt idx="118">
                    <c:v>11</c:v>
                  </c:pt>
                  <c:pt idx="119">
                    <c:v>12</c:v>
                  </c:pt>
                  <c:pt idx="120">
                    <c:v>1</c:v>
                  </c:pt>
                  <c:pt idx="121">
                    <c:v>2</c:v>
                  </c:pt>
                  <c:pt idx="122">
                    <c:v>3</c:v>
                  </c:pt>
                  <c:pt idx="123">
                    <c:v>4</c:v>
                  </c:pt>
                  <c:pt idx="124">
                    <c:v>5</c:v>
                  </c:pt>
                  <c:pt idx="125">
                    <c:v>6</c:v>
                  </c:pt>
                  <c:pt idx="126">
                    <c:v>7</c:v>
                  </c:pt>
                  <c:pt idx="127">
                    <c:v>8</c:v>
                  </c:pt>
                  <c:pt idx="128">
                    <c:v>9</c:v>
                  </c:pt>
                  <c:pt idx="129">
                    <c:v>10</c:v>
                  </c:pt>
                  <c:pt idx="130">
                    <c:v>11</c:v>
                  </c:pt>
                  <c:pt idx="131">
                    <c:v>12</c:v>
                  </c:pt>
                  <c:pt idx="132">
                    <c:v>1</c:v>
                  </c:pt>
                  <c:pt idx="133">
                    <c:v>2</c:v>
                  </c:pt>
                  <c:pt idx="134">
                    <c:v>3</c:v>
                  </c:pt>
                  <c:pt idx="135">
                    <c:v>4</c:v>
                  </c:pt>
                  <c:pt idx="136">
                    <c:v>5</c:v>
                  </c:pt>
                  <c:pt idx="137">
                    <c:v>6</c:v>
                  </c:pt>
                </c:lvl>
                <c:lvl>
                  <c:pt idx="0">
                    <c:v>2010</c:v>
                  </c:pt>
                  <c:pt idx="12">
                    <c:v>2011</c:v>
                  </c:pt>
                  <c:pt idx="24">
                    <c:v>2012</c:v>
                  </c:pt>
                  <c:pt idx="36">
                    <c:v>2013</c:v>
                  </c:pt>
                  <c:pt idx="48">
                    <c:v>2014</c:v>
                  </c:pt>
                  <c:pt idx="60">
                    <c:v>2015</c:v>
                  </c:pt>
                  <c:pt idx="72">
                    <c:v>2016</c:v>
                  </c:pt>
                  <c:pt idx="84">
                    <c:v>2017</c:v>
                  </c:pt>
                  <c:pt idx="96">
                    <c:v>2018</c:v>
                  </c:pt>
                  <c:pt idx="108">
                    <c:v>2019</c:v>
                  </c:pt>
                  <c:pt idx="120">
                    <c:v>2020</c:v>
                  </c:pt>
                  <c:pt idx="132">
                    <c:v>2021</c:v>
                  </c:pt>
                </c:lvl>
              </c:multiLvlStrCache>
            </c:multiLvlStrRef>
          </c:cat>
          <c:val>
            <c:numRef>
              <c:f>גיליון1!$S$23:$S$160</c:f>
              <c:numCache>
                <c:formatCode>_ * #,##0.0_ ;_ * \-#,##0.0_ ;_ * "-"??_ ;_ @_ </c:formatCode>
                <c:ptCount val="138"/>
                <c:pt idx="0">
                  <c:v>98.491988689899998</c:v>
                </c:pt>
                <c:pt idx="1">
                  <c:v>98.209236569300003</c:v>
                </c:pt>
                <c:pt idx="2">
                  <c:v>98.303487276200002</c:v>
                </c:pt>
                <c:pt idx="3">
                  <c:v>99.151743638100001</c:v>
                </c:pt>
                <c:pt idx="4">
                  <c:v>99.528746465599994</c:v>
                </c:pt>
                <c:pt idx="5">
                  <c:v>99.811498586200003</c:v>
                </c:pt>
                <c:pt idx="6">
                  <c:v>100.28275212059999</c:v>
                </c:pt>
                <c:pt idx="7">
                  <c:v>100.754005655</c:v>
                </c:pt>
                <c:pt idx="8">
                  <c:v>101.0367577757</c:v>
                </c:pt>
                <c:pt idx="9">
                  <c:v>101.3195098963</c:v>
                </c:pt>
                <c:pt idx="10">
                  <c:v>101.4137606032</c:v>
                </c:pt>
                <c:pt idx="11">
                  <c:v>101.7907634307</c:v>
                </c:pt>
                <c:pt idx="12">
                  <c:v>102</c:v>
                </c:pt>
                <c:pt idx="13">
                  <c:v>102.3</c:v>
                </c:pt>
                <c:pt idx="14">
                  <c:v>102.5</c:v>
                </c:pt>
                <c:pt idx="15">
                  <c:v>103.1</c:v>
                </c:pt>
                <c:pt idx="16">
                  <c:v>103.6</c:v>
                </c:pt>
                <c:pt idx="17">
                  <c:v>104</c:v>
                </c:pt>
                <c:pt idx="18">
                  <c:v>103.7</c:v>
                </c:pt>
                <c:pt idx="19">
                  <c:v>104.2</c:v>
                </c:pt>
                <c:pt idx="20">
                  <c:v>104</c:v>
                </c:pt>
                <c:pt idx="21">
                  <c:v>104.1</c:v>
                </c:pt>
                <c:pt idx="22">
                  <c:v>104</c:v>
                </c:pt>
                <c:pt idx="23">
                  <c:v>104</c:v>
                </c:pt>
                <c:pt idx="24">
                  <c:v>104</c:v>
                </c:pt>
                <c:pt idx="25">
                  <c:v>104</c:v>
                </c:pt>
                <c:pt idx="26">
                  <c:v>104.4</c:v>
                </c:pt>
                <c:pt idx="27">
                  <c:v>105.3</c:v>
                </c:pt>
                <c:pt idx="28">
                  <c:v>105.3</c:v>
                </c:pt>
                <c:pt idx="29">
                  <c:v>105</c:v>
                </c:pt>
                <c:pt idx="30">
                  <c:v>105.1</c:v>
                </c:pt>
                <c:pt idx="31">
                  <c:v>106.2</c:v>
                </c:pt>
                <c:pt idx="32">
                  <c:v>106.2</c:v>
                </c:pt>
                <c:pt idx="33">
                  <c:v>106</c:v>
                </c:pt>
                <c:pt idx="34">
                  <c:v>105.5</c:v>
                </c:pt>
                <c:pt idx="35">
                  <c:v>105.7</c:v>
                </c:pt>
                <c:pt idx="36">
                  <c:v>105.51560000000001</c:v>
                </c:pt>
                <c:pt idx="37">
                  <c:v>105.51560000000001</c:v>
                </c:pt>
                <c:pt idx="38">
                  <c:v>105.726</c:v>
                </c:pt>
                <c:pt idx="39">
                  <c:v>106.1468</c:v>
                </c:pt>
                <c:pt idx="40">
                  <c:v>106.252</c:v>
                </c:pt>
                <c:pt idx="41">
                  <c:v>107.0936</c:v>
                </c:pt>
                <c:pt idx="42">
                  <c:v>107.4092</c:v>
                </c:pt>
                <c:pt idx="43">
                  <c:v>107.61960000000001</c:v>
                </c:pt>
                <c:pt idx="44">
                  <c:v>107.61960000000001</c:v>
                </c:pt>
                <c:pt idx="45">
                  <c:v>107.93519999999999</c:v>
                </c:pt>
                <c:pt idx="46">
                  <c:v>107.51439999999999</c:v>
                </c:pt>
                <c:pt idx="47">
                  <c:v>107.61960000000001</c:v>
                </c:pt>
                <c:pt idx="48">
                  <c:v>106.9884</c:v>
                </c:pt>
                <c:pt idx="49">
                  <c:v>106.77800000000001</c:v>
                </c:pt>
                <c:pt idx="50">
                  <c:v>107.0936</c:v>
                </c:pt>
                <c:pt idx="51">
                  <c:v>107.19880000000001</c:v>
                </c:pt>
                <c:pt idx="52">
                  <c:v>107.304</c:v>
                </c:pt>
                <c:pt idx="53">
                  <c:v>107.61960000000001</c:v>
                </c:pt>
                <c:pt idx="54">
                  <c:v>107.7248</c:v>
                </c:pt>
                <c:pt idx="55">
                  <c:v>107.61960000000001</c:v>
                </c:pt>
                <c:pt idx="56">
                  <c:v>107.304</c:v>
                </c:pt>
                <c:pt idx="57">
                  <c:v>107.61960000000001</c:v>
                </c:pt>
                <c:pt idx="58">
                  <c:v>107.4092</c:v>
                </c:pt>
                <c:pt idx="59">
                  <c:v>107.4092</c:v>
                </c:pt>
                <c:pt idx="60">
                  <c:v>106.44556799999999</c:v>
                </c:pt>
                <c:pt idx="61">
                  <c:v>105.69444</c:v>
                </c:pt>
                <c:pt idx="62">
                  <c:v>106.016352</c:v>
                </c:pt>
                <c:pt idx="63">
                  <c:v>106.66017600000001</c:v>
                </c:pt>
                <c:pt idx="64">
                  <c:v>106.87478400000001</c:v>
                </c:pt>
                <c:pt idx="65">
                  <c:v>107.196696</c:v>
                </c:pt>
                <c:pt idx="66">
                  <c:v>107.411304</c:v>
                </c:pt>
                <c:pt idx="67">
                  <c:v>107.196696</c:v>
                </c:pt>
                <c:pt idx="68">
                  <c:v>106.76748000000001</c:v>
                </c:pt>
                <c:pt idx="69">
                  <c:v>106.87478400000001</c:v>
                </c:pt>
                <c:pt idx="70">
                  <c:v>106.44556799999999</c:v>
                </c:pt>
                <c:pt idx="71">
                  <c:v>106.338264</c:v>
                </c:pt>
                <c:pt idx="72">
                  <c:v>105.801744</c:v>
                </c:pt>
                <c:pt idx="73">
                  <c:v>105.479832</c:v>
                </c:pt>
                <c:pt idx="74">
                  <c:v>105.265224</c:v>
                </c:pt>
                <c:pt idx="75">
                  <c:v>105.69444</c:v>
                </c:pt>
                <c:pt idx="76">
                  <c:v>106.016352</c:v>
                </c:pt>
                <c:pt idx="77">
                  <c:v>106.338264</c:v>
                </c:pt>
                <c:pt idx="78">
                  <c:v>106.76748000000001</c:v>
                </c:pt>
                <c:pt idx="79">
                  <c:v>106.44556799999999</c:v>
                </c:pt>
                <c:pt idx="80">
                  <c:v>106.338264</c:v>
                </c:pt>
                <c:pt idx="81">
                  <c:v>106.55287199999999</c:v>
                </c:pt>
                <c:pt idx="82">
                  <c:v>106.123656</c:v>
                </c:pt>
                <c:pt idx="83">
                  <c:v>106.123656</c:v>
                </c:pt>
                <c:pt idx="84">
                  <c:v>105.91140868799999</c:v>
                </c:pt>
                <c:pt idx="85">
                  <c:v>105.91140868799999</c:v>
                </c:pt>
                <c:pt idx="86">
                  <c:v>106.22977965600001</c:v>
                </c:pt>
                <c:pt idx="87">
                  <c:v>106.44202696799999</c:v>
                </c:pt>
                <c:pt idx="88">
                  <c:v>106.866521592</c:v>
                </c:pt>
                <c:pt idx="89">
                  <c:v>106.123656</c:v>
                </c:pt>
                <c:pt idx="90">
                  <c:v>106.017532344</c:v>
                </c:pt>
                <c:pt idx="91">
                  <c:v>106.335903312</c:v>
                </c:pt>
                <c:pt idx="92">
                  <c:v>106.44202696799999</c:v>
                </c:pt>
                <c:pt idx="93">
                  <c:v>106.760397936</c:v>
                </c:pt>
                <c:pt idx="94">
                  <c:v>106.44202696799999</c:v>
                </c:pt>
                <c:pt idx="95">
                  <c:v>106.548150624</c:v>
                </c:pt>
                <c:pt idx="96">
                  <c:v>106.017532344</c:v>
                </c:pt>
                <c:pt idx="97">
                  <c:v>106.123656</c:v>
                </c:pt>
                <c:pt idx="98">
                  <c:v>106.44202696799999</c:v>
                </c:pt>
                <c:pt idx="99">
                  <c:v>106.866521592</c:v>
                </c:pt>
                <c:pt idx="100">
                  <c:v>107.397139872</c:v>
                </c:pt>
                <c:pt idx="101">
                  <c:v>107.50326352800001</c:v>
                </c:pt>
                <c:pt idx="102">
                  <c:v>107.50326352800001</c:v>
                </c:pt>
                <c:pt idx="103">
                  <c:v>107.609387184</c:v>
                </c:pt>
                <c:pt idx="104">
                  <c:v>107.71551083999999</c:v>
                </c:pt>
                <c:pt idx="105">
                  <c:v>108.033881808</c:v>
                </c:pt>
                <c:pt idx="106">
                  <c:v>107.71551083999999</c:v>
                </c:pt>
                <c:pt idx="107">
                  <c:v>107.397139872</c:v>
                </c:pt>
                <c:pt idx="108">
                  <c:v>107.2920774526</c:v>
                </c:pt>
                <c:pt idx="109">
                  <c:v>107.3992623451</c:v>
                </c:pt>
                <c:pt idx="110">
                  <c:v>107.9351868079</c:v>
                </c:pt>
                <c:pt idx="111">
                  <c:v>108.2567414856</c:v>
                </c:pt>
                <c:pt idx="112">
                  <c:v>109.0070357335</c:v>
                </c:pt>
                <c:pt idx="113">
                  <c:v>108.36392637820001</c:v>
                </c:pt>
                <c:pt idx="114">
                  <c:v>108.0423717005</c:v>
                </c:pt>
                <c:pt idx="115">
                  <c:v>108.2567414856</c:v>
                </c:pt>
                <c:pt idx="116">
                  <c:v>108.0423717005</c:v>
                </c:pt>
                <c:pt idx="117">
                  <c:v>108.47111127070001</c:v>
                </c:pt>
                <c:pt idx="118">
                  <c:v>108.0423717005</c:v>
                </c:pt>
                <c:pt idx="119">
                  <c:v>108.0423717005</c:v>
                </c:pt>
                <c:pt idx="120">
                  <c:v>107.6136321302</c:v>
                </c:pt>
                <c:pt idx="121">
                  <c:v>107.5064472377</c:v>
                </c:pt>
                <c:pt idx="122">
                  <c:v>107.9351868079</c:v>
                </c:pt>
                <c:pt idx="123">
                  <c:v>107.6136321302</c:v>
                </c:pt>
                <c:pt idx="124">
                  <c:v>107.2920774526</c:v>
                </c:pt>
                <c:pt idx="125">
                  <c:v>107.18489255999999</c:v>
                </c:pt>
                <c:pt idx="126">
                  <c:v>107.3992623451</c:v>
                </c:pt>
                <c:pt idx="127">
                  <c:v>107.3992623451</c:v>
                </c:pt>
                <c:pt idx="128">
                  <c:v>107.2920774526</c:v>
                </c:pt>
                <c:pt idx="129">
                  <c:v>107.6136321302</c:v>
                </c:pt>
                <c:pt idx="130">
                  <c:v>107.3992623451</c:v>
                </c:pt>
                <c:pt idx="131">
                  <c:v>107.2920774526</c:v>
                </c:pt>
                <c:pt idx="132">
                  <c:v>107.183927896</c:v>
                </c:pt>
                <c:pt idx="133">
                  <c:v>107.5064472377</c:v>
                </c:pt>
                <c:pt idx="134">
                  <c:v>108.1514859211</c:v>
                </c:pt>
                <c:pt idx="135">
                  <c:v>108.47400526280001</c:v>
                </c:pt>
                <c:pt idx="136">
                  <c:v>108.9040310518</c:v>
                </c:pt>
                <c:pt idx="137">
                  <c:v>109.011537499</c:v>
                </c:pt>
              </c:numCache>
            </c:numRef>
          </c:val>
          <c:smooth val="0"/>
          <c:extLst>
            <c:ext xmlns:c16="http://schemas.microsoft.com/office/drawing/2014/chart" uri="{C3380CC4-5D6E-409C-BE32-E72D297353CC}">
              <c16:uniqueId val="{00000001-ECD5-4248-9976-DA728FFE3C06}"/>
            </c:ext>
          </c:extLst>
        </c:ser>
        <c:ser>
          <c:idx val="1"/>
          <c:order val="1"/>
          <c:tx>
            <c:strRef>
              <c:f>גיליון1!$T$22</c:f>
              <c:strCache>
                <c:ptCount val="1"/>
                <c:pt idx="0">
                  <c:v>מדד מחירי הפירות והירקות</c:v>
                </c:pt>
              </c:strCache>
            </c:strRef>
          </c:tx>
          <c:spPr>
            <a:ln w="28575" cap="rnd">
              <a:solidFill>
                <a:schemeClr val="tx1"/>
              </a:solidFill>
              <a:prstDash val="sysDot"/>
              <a:round/>
            </a:ln>
            <a:effectLst/>
          </c:spPr>
          <c:marker>
            <c:symbol val="none"/>
          </c:marker>
          <c:dLbls>
            <c:dLbl>
              <c:idx val="112"/>
              <c:layout>
                <c:manualLayout>
                  <c:x val="-4.9386506646044152E-2"/>
                  <c:y val="-6.2555865178811301E-2"/>
                </c:manualLayout>
              </c:layout>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02-ECD5-4248-9976-DA728FFE3C0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lef" panose="00000500000000000000" pitchFamily="2" charset="-79"/>
                    <a:ea typeface="+mn-ea"/>
                    <a:cs typeface="Alef" panose="00000500000000000000" pitchFamily="2" charset="-79"/>
                  </a:defRPr>
                </a:pPr>
                <a:endParaRPr lang="he-IL"/>
              </a:p>
            </c:txPr>
            <c:showLegendKey val="0"/>
            <c:showVal val="0"/>
            <c:showCatName val="0"/>
            <c:showSerName val="0"/>
            <c:showPercent val="0"/>
            <c:showBubbleSize val="0"/>
            <c:extLst>
              <c:ext xmlns:c15="http://schemas.microsoft.com/office/drawing/2012/chart" uri="{CE6537A1-D6FC-4f65-9D91-7224C49458BB}">
                <c15:showLeaderLines val="0"/>
              </c:ext>
            </c:extLst>
          </c:dLbls>
          <c:cat>
            <c:multiLvlStrRef>
              <c:f>גיליון1!$Q$23:$R$160</c:f>
              <c:multiLvlStrCache>
                <c:ptCount val="138"/>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pt idx="66">
                    <c:v>7</c:v>
                  </c:pt>
                  <c:pt idx="67">
                    <c:v>8</c:v>
                  </c:pt>
                  <c:pt idx="68">
                    <c:v>9</c:v>
                  </c:pt>
                  <c:pt idx="69">
                    <c:v>10</c:v>
                  </c:pt>
                  <c:pt idx="70">
                    <c:v>11</c:v>
                  </c:pt>
                  <c:pt idx="71">
                    <c:v>12</c:v>
                  </c:pt>
                  <c:pt idx="72">
                    <c:v>1</c:v>
                  </c:pt>
                  <c:pt idx="73">
                    <c:v>2</c:v>
                  </c:pt>
                  <c:pt idx="74">
                    <c:v>3</c:v>
                  </c:pt>
                  <c:pt idx="75">
                    <c:v>4</c:v>
                  </c:pt>
                  <c:pt idx="76">
                    <c:v>5</c:v>
                  </c:pt>
                  <c:pt idx="77">
                    <c:v>6</c:v>
                  </c:pt>
                  <c:pt idx="78">
                    <c:v>7</c:v>
                  </c:pt>
                  <c:pt idx="79">
                    <c:v>8</c:v>
                  </c:pt>
                  <c:pt idx="80">
                    <c:v>9</c:v>
                  </c:pt>
                  <c:pt idx="81">
                    <c:v>10</c:v>
                  </c:pt>
                  <c:pt idx="82">
                    <c:v>11</c:v>
                  </c:pt>
                  <c:pt idx="83">
                    <c:v>12</c:v>
                  </c:pt>
                  <c:pt idx="84">
                    <c:v>1</c:v>
                  </c:pt>
                  <c:pt idx="85">
                    <c:v>2</c:v>
                  </c:pt>
                  <c:pt idx="86">
                    <c:v>3</c:v>
                  </c:pt>
                  <c:pt idx="87">
                    <c:v>4</c:v>
                  </c:pt>
                  <c:pt idx="88">
                    <c:v>5</c:v>
                  </c:pt>
                  <c:pt idx="89">
                    <c:v>6</c:v>
                  </c:pt>
                  <c:pt idx="90">
                    <c:v>7</c:v>
                  </c:pt>
                  <c:pt idx="91">
                    <c:v>8</c:v>
                  </c:pt>
                  <c:pt idx="92">
                    <c:v>9</c:v>
                  </c:pt>
                  <c:pt idx="93">
                    <c:v>10</c:v>
                  </c:pt>
                  <c:pt idx="94">
                    <c:v>11</c:v>
                  </c:pt>
                  <c:pt idx="95">
                    <c:v>12</c:v>
                  </c:pt>
                  <c:pt idx="96">
                    <c:v>1</c:v>
                  </c:pt>
                  <c:pt idx="97">
                    <c:v>2</c:v>
                  </c:pt>
                  <c:pt idx="98">
                    <c:v>3</c:v>
                  </c:pt>
                  <c:pt idx="99">
                    <c:v>4</c:v>
                  </c:pt>
                  <c:pt idx="100">
                    <c:v>5</c:v>
                  </c:pt>
                  <c:pt idx="101">
                    <c:v>6</c:v>
                  </c:pt>
                  <c:pt idx="102">
                    <c:v>7</c:v>
                  </c:pt>
                  <c:pt idx="103">
                    <c:v>8</c:v>
                  </c:pt>
                  <c:pt idx="104">
                    <c:v>9</c:v>
                  </c:pt>
                  <c:pt idx="105">
                    <c:v>10</c:v>
                  </c:pt>
                  <c:pt idx="106">
                    <c:v>11</c:v>
                  </c:pt>
                  <c:pt idx="107">
                    <c:v>12</c:v>
                  </c:pt>
                  <c:pt idx="108">
                    <c:v>1</c:v>
                  </c:pt>
                  <c:pt idx="109">
                    <c:v>2</c:v>
                  </c:pt>
                  <c:pt idx="110">
                    <c:v>3</c:v>
                  </c:pt>
                  <c:pt idx="111">
                    <c:v>4</c:v>
                  </c:pt>
                  <c:pt idx="112">
                    <c:v>5</c:v>
                  </c:pt>
                  <c:pt idx="113">
                    <c:v>6</c:v>
                  </c:pt>
                  <c:pt idx="114">
                    <c:v>7</c:v>
                  </c:pt>
                  <c:pt idx="115">
                    <c:v>8</c:v>
                  </c:pt>
                  <c:pt idx="116">
                    <c:v>9</c:v>
                  </c:pt>
                  <c:pt idx="117">
                    <c:v>10</c:v>
                  </c:pt>
                  <c:pt idx="118">
                    <c:v>11</c:v>
                  </c:pt>
                  <c:pt idx="119">
                    <c:v>12</c:v>
                  </c:pt>
                  <c:pt idx="120">
                    <c:v>1</c:v>
                  </c:pt>
                  <c:pt idx="121">
                    <c:v>2</c:v>
                  </c:pt>
                  <c:pt idx="122">
                    <c:v>3</c:v>
                  </c:pt>
                  <c:pt idx="123">
                    <c:v>4</c:v>
                  </c:pt>
                  <c:pt idx="124">
                    <c:v>5</c:v>
                  </c:pt>
                  <c:pt idx="125">
                    <c:v>6</c:v>
                  </c:pt>
                  <c:pt idx="126">
                    <c:v>7</c:v>
                  </c:pt>
                  <c:pt idx="127">
                    <c:v>8</c:v>
                  </c:pt>
                  <c:pt idx="128">
                    <c:v>9</c:v>
                  </c:pt>
                  <c:pt idx="129">
                    <c:v>10</c:v>
                  </c:pt>
                  <c:pt idx="130">
                    <c:v>11</c:v>
                  </c:pt>
                  <c:pt idx="131">
                    <c:v>12</c:v>
                  </c:pt>
                  <c:pt idx="132">
                    <c:v>1</c:v>
                  </c:pt>
                  <c:pt idx="133">
                    <c:v>2</c:v>
                  </c:pt>
                  <c:pt idx="134">
                    <c:v>3</c:v>
                  </c:pt>
                  <c:pt idx="135">
                    <c:v>4</c:v>
                  </c:pt>
                  <c:pt idx="136">
                    <c:v>5</c:v>
                  </c:pt>
                  <c:pt idx="137">
                    <c:v>6</c:v>
                  </c:pt>
                </c:lvl>
                <c:lvl>
                  <c:pt idx="0">
                    <c:v>2010</c:v>
                  </c:pt>
                  <c:pt idx="12">
                    <c:v>2011</c:v>
                  </c:pt>
                  <c:pt idx="24">
                    <c:v>2012</c:v>
                  </c:pt>
                  <c:pt idx="36">
                    <c:v>2013</c:v>
                  </c:pt>
                  <c:pt idx="48">
                    <c:v>2014</c:v>
                  </c:pt>
                  <c:pt idx="60">
                    <c:v>2015</c:v>
                  </c:pt>
                  <c:pt idx="72">
                    <c:v>2016</c:v>
                  </c:pt>
                  <c:pt idx="84">
                    <c:v>2017</c:v>
                  </c:pt>
                  <c:pt idx="96">
                    <c:v>2018</c:v>
                  </c:pt>
                  <c:pt idx="108">
                    <c:v>2019</c:v>
                  </c:pt>
                  <c:pt idx="120">
                    <c:v>2020</c:v>
                  </c:pt>
                  <c:pt idx="132">
                    <c:v>2021</c:v>
                  </c:pt>
                </c:lvl>
              </c:multiLvlStrCache>
            </c:multiLvlStrRef>
          </c:cat>
          <c:val>
            <c:numRef>
              <c:f>גיליון1!$T$23:$T$160</c:f>
              <c:numCache>
                <c:formatCode>_ * #,##0.0_ ;_ * \-#,##0.0_ ;_ * "-"??_ ;_ @_ </c:formatCode>
                <c:ptCount val="138"/>
                <c:pt idx="0">
                  <c:v>91.881566380099997</c:v>
                </c:pt>
                <c:pt idx="1">
                  <c:v>92.836676217800004</c:v>
                </c:pt>
                <c:pt idx="2">
                  <c:v>91.595033428799994</c:v>
                </c:pt>
                <c:pt idx="3">
                  <c:v>93.3142311366</c:v>
                </c:pt>
                <c:pt idx="4">
                  <c:v>95.702005730699995</c:v>
                </c:pt>
                <c:pt idx="5">
                  <c:v>95.797516714400004</c:v>
                </c:pt>
                <c:pt idx="6">
                  <c:v>97.707736389700003</c:v>
                </c:pt>
                <c:pt idx="7">
                  <c:v>99.6179560649</c:v>
                </c:pt>
                <c:pt idx="8">
                  <c:v>109.5510983763</c:v>
                </c:pt>
                <c:pt idx="9">
                  <c:v>113.7535816619</c:v>
                </c:pt>
                <c:pt idx="10">
                  <c:v>109.5510983763</c:v>
                </c:pt>
                <c:pt idx="11">
                  <c:v>108.5959885387</c:v>
                </c:pt>
                <c:pt idx="12">
                  <c:v>107.7</c:v>
                </c:pt>
                <c:pt idx="13">
                  <c:v>108.4</c:v>
                </c:pt>
                <c:pt idx="14">
                  <c:v>104.1</c:v>
                </c:pt>
                <c:pt idx="15">
                  <c:v>104.3</c:v>
                </c:pt>
                <c:pt idx="16">
                  <c:v>102.6</c:v>
                </c:pt>
                <c:pt idx="17">
                  <c:v>100.4</c:v>
                </c:pt>
                <c:pt idx="18">
                  <c:v>99.8</c:v>
                </c:pt>
                <c:pt idx="19">
                  <c:v>101</c:v>
                </c:pt>
                <c:pt idx="20">
                  <c:v>95.6</c:v>
                </c:pt>
                <c:pt idx="21">
                  <c:v>95.6</c:v>
                </c:pt>
                <c:pt idx="22">
                  <c:v>98.9</c:v>
                </c:pt>
                <c:pt idx="23">
                  <c:v>99.8</c:v>
                </c:pt>
                <c:pt idx="24">
                  <c:v>97.9</c:v>
                </c:pt>
                <c:pt idx="25">
                  <c:v>101</c:v>
                </c:pt>
                <c:pt idx="26">
                  <c:v>100</c:v>
                </c:pt>
                <c:pt idx="27">
                  <c:v>100.1</c:v>
                </c:pt>
                <c:pt idx="28">
                  <c:v>103.9</c:v>
                </c:pt>
                <c:pt idx="29">
                  <c:v>97.8</c:v>
                </c:pt>
                <c:pt idx="30">
                  <c:v>99.1</c:v>
                </c:pt>
                <c:pt idx="31">
                  <c:v>106.9</c:v>
                </c:pt>
                <c:pt idx="32">
                  <c:v>109.8</c:v>
                </c:pt>
                <c:pt idx="33">
                  <c:v>107.2</c:v>
                </c:pt>
                <c:pt idx="34">
                  <c:v>99.5</c:v>
                </c:pt>
                <c:pt idx="35">
                  <c:v>98.1</c:v>
                </c:pt>
                <c:pt idx="36">
                  <c:v>103.7342</c:v>
                </c:pt>
                <c:pt idx="37">
                  <c:v>104.854</c:v>
                </c:pt>
                <c:pt idx="38">
                  <c:v>101.8</c:v>
                </c:pt>
                <c:pt idx="39">
                  <c:v>104.9558</c:v>
                </c:pt>
                <c:pt idx="40">
                  <c:v>104.7522</c:v>
                </c:pt>
                <c:pt idx="41">
                  <c:v>105.15940000000001</c:v>
                </c:pt>
                <c:pt idx="42">
                  <c:v>108.6206</c:v>
                </c:pt>
                <c:pt idx="43">
                  <c:v>106.07559999999999</c:v>
                </c:pt>
                <c:pt idx="44">
                  <c:v>105.7702</c:v>
                </c:pt>
                <c:pt idx="45">
                  <c:v>111.98</c:v>
                </c:pt>
                <c:pt idx="46">
                  <c:v>108.0098</c:v>
                </c:pt>
                <c:pt idx="47">
                  <c:v>109.6386</c:v>
                </c:pt>
                <c:pt idx="48">
                  <c:v>110.6566</c:v>
                </c:pt>
                <c:pt idx="49">
                  <c:v>107.5008</c:v>
                </c:pt>
                <c:pt idx="50">
                  <c:v>107.0936</c:v>
                </c:pt>
                <c:pt idx="51">
                  <c:v>105.66840000000001</c:v>
                </c:pt>
                <c:pt idx="52">
                  <c:v>105.7702</c:v>
                </c:pt>
                <c:pt idx="53">
                  <c:v>102.9198</c:v>
                </c:pt>
                <c:pt idx="54">
                  <c:v>104.854</c:v>
                </c:pt>
                <c:pt idx="55">
                  <c:v>109.6386</c:v>
                </c:pt>
                <c:pt idx="56">
                  <c:v>105.9738</c:v>
                </c:pt>
                <c:pt idx="57">
                  <c:v>106.68640000000001</c:v>
                </c:pt>
                <c:pt idx="58">
                  <c:v>104.4468</c:v>
                </c:pt>
                <c:pt idx="59">
                  <c:v>99.458600000000004</c:v>
                </c:pt>
                <c:pt idx="60">
                  <c:v>100.68427200000001</c:v>
                </c:pt>
                <c:pt idx="61">
                  <c:v>101.63712</c:v>
                </c:pt>
                <c:pt idx="62">
                  <c:v>99.837295999999995</c:v>
                </c:pt>
                <c:pt idx="63">
                  <c:v>107.671824</c:v>
                </c:pt>
                <c:pt idx="64">
                  <c:v>111.906704</c:v>
                </c:pt>
                <c:pt idx="65">
                  <c:v>107.671824</c:v>
                </c:pt>
                <c:pt idx="66">
                  <c:v>108.836416</c:v>
                </c:pt>
                <c:pt idx="67">
                  <c:v>107.24833599999999</c:v>
                </c:pt>
                <c:pt idx="68">
                  <c:v>115.40048</c:v>
                </c:pt>
                <c:pt idx="69">
                  <c:v>121.11756800000001</c:v>
                </c:pt>
                <c:pt idx="70">
                  <c:v>118.894256</c:v>
                </c:pt>
                <c:pt idx="71">
                  <c:v>112.54193600000001</c:v>
                </c:pt>
                <c:pt idx="72">
                  <c:v>112.22432000000001</c:v>
                </c:pt>
                <c:pt idx="73">
                  <c:v>110.424496</c:v>
                </c:pt>
                <c:pt idx="74">
                  <c:v>106.083744</c:v>
                </c:pt>
                <c:pt idx="75">
                  <c:v>105.76612799999999</c:v>
                </c:pt>
                <c:pt idx="76">
                  <c:v>110.424496</c:v>
                </c:pt>
                <c:pt idx="77">
                  <c:v>106.507232</c:v>
                </c:pt>
                <c:pt idx="78">
                  <c:v>112.54193600000001</c:v>
                </c:pt>
                <c:pt idx="79">
                  <c:v>113.388912</c:v>
                </c:pt>
                <c:pt idx="80">
                  <c:v>111.271472</c:v>
                </c:pt>
                <c:pt idx="81">
                  <c:v>113.28304</c:v>
                </c:pt>
                <c:pt idx="82">
                  <c:v>108.41292799999999</c:v>
                </c:pt>
                <c:pt idx="83">
                  <c:v>109.471648</c:v>
                </c:pt>
                <c:pt idx="84">
                  <c:v>109.341001952</c:v>
                </c:pt>
                <c:pt idx="85">
                  <c:v>113.631041264</c:v>
                </c:pt>
                <c:pt idx="86">
                  <c:v>113.52104025600001</c:v>
                </c:pt>
                <c:pt idx="87">
                  <c:v>115.281056384</c:v>
                </c:pt>
                <c:pt idx="88">
                  <c:v>117.15107352</c:v>
                </c:pt>
                <c:pt idx="89">
                  <c:v>109.01099892800001</c:v>
                </c:pt>
                <c:pt idx="90">
                  <c:v>108.90099791999999</c:v>
                </c:pt>
                <c:pt idx="91">
                  <c:v>110.55101304</c:v>
                </c:pt>
                <c:pt idx="92">
                  <c:v>113.741042272</c:v>
                </c:pt>
                <c:pt idx="93">
                  <c:v>115.281056384</c:v>
                </c:pt>
                <c:pt idx="94">
                  <c:v>108.90099791999999</c:v>
                </c:pt>
                <c:pt idx="95">
                  <c:v>105.270964656</c:v>
                </c:pt>
                <c:pt idx="96">
                  <c:v>105.05096263999999</c:v>
                </c:pt>
                <c:pt idx="97">
                  <c:v>107.470984816</c:v>
                </c:pt>
                <c:pt idx="98">
                  <c:v>104.39095659199999</c:v>
                </c:pt>
                <c:pt idx="99">
                  <c:v>107.80098784</c:v>
                </c:pt>
                <c:pt idx="100">
                  <c:v>115.831061424</c:v>
                </c:pt>
                <c:pt idx="101">
                  <c:v>118.03108158400001</c:v>
                </c:pt>
                <c:pt idx="102">
                  <c:v>120.341102752</c:v>
                </c:pt>
                <c:pt idx="103">
                  <c:v>117.811079568</c:v>
                </c:pt>
                <c:pt idx="104">
                  <c:v>120.011099728</c:v>
                </c:pt>
                <c:pt idx="105">
                  <c:v>120.671105776</c:v>
                </c:pt>
                <c:pt idx="106">
                  <c:v>118.80108864</c:v>
                </c:pt>
                <c:pt idx="107">
                  <c:v>118.361084608</c:v>
                </c:pt>
                <c:pt idx="108">
                  <c:v>121.6107343863</c:v>
                </c:pt>
                <c:pt idx="109">
                  <c:v>124.7025327182</c:v>
                </c:pt>
                <c:pt idx="110">
                  <c:v>124.3589995702</c:v>
                </c:pt>
                <c:pt idx="111">
                  <c:v>124.3589995702</c:v>
                </c:pt>
                <c:pt idx="112">
                  <c:v>129.0539525927</c:v>
                </c:pt>
                <c:pt idx="113">
                  <c:v>117.37382556119999</c:v>
                </c:pt>
                <c:pt idx="114">
                  <c:v>113.13691673610001</c:v>
                </c:pt>
                <c:pt idx="115">
                  <c:v>116.6867592652</c:v>
                </c:pt>
                <c:pt idx="116">
                  <c:v>119.8930686464</c:v>
                </c:pt>
                <c:pt idx="117">
                  <c:v>122.29780068229999</c:v>
                </c:pt>
                <c:pt idx="118">
                  <c:v>118.63344710379999</c:v>
                </c:pt>
                <c:pt idx="119">
                  <c:v>115.0836045746</c:v>
                </c:pt>
                <c:pt idx="120">
                  <c:v>117.9463808078</c:v>
                </c:pt>
                <c:pt idx="121">
                  <c:v>119.7785575971</c:v>
                </c:pt>
                <c:pt idx="122">
                  <c:v>119.2060023504</c:v>
                </c:pt>
                <c:pt idx="123">
                  <c:v>124.9315548168</c:v>
                </c:pt>
                <c:pt idx="124">
                  <c:v>126.0766653101</c:v>
                </c:pt>
                <c:pt idx="125">
                  <c:v>118.4044250052</c:v>
                </c:pt>
                <c:pt idx="126">
                  <c:v>119.09149130110001</c:v>
                </c:pt>
                <c:pt idx="127">
                  <c:v>118.9769802518</c:v>
                </c:pt>
                <c:pt idx="128">
                  <c:v>122.4123117316</c:v>
                </c:pt>
                <c:pt idx="129">
                  <c:v>125.73313216210001</c:v>
                </c:pt>
                <c:pt idx="130">
                  <c:v>122.8703559289</c:v>
                </c:pt>
                <c:pt idx="131">
                  <c:v>120.1220907451</c:v>
                </c:pt>
                <c:pt idx="132">
                  <c:v>116.90158199379999</c:v>
                </c:pt>
                <c:pt idx="133">
                  <c:v>118.3567884086</c:v>
                </c:pt>
                <c:pt idx="134">
                  <c:v>116.5377803901</c:v>
                </c:pt>
                <c:pt idx="135">
                  <c:v>120.054529226</c:v>
                </c:pt>
                <c:pt idx="136">
                  <c:v>124.1776140681</c:v>
                </c:pt>
                <c:pt idx="137">
                  <c:v>121.5097356408</c:v>
                </c:pt>
              </c:numCache>
            </c:numRef>
          </c:val>
          <c:smooth val="0"/>
          <c:extLst>
            <c:ext xmlns:c16="http://schemas.microsoft.com/office/drawing/2014/chart" uri="{C3380CC4-5D6E-409C-BE32-E72D297353CC}">
              <c16:uniqueId val="{00000003-ECD5-4248-9976-DA728FFE3C06}"/>
            </c:ext>
          </c:extLst>
        </c:ser>
        <c:dLbls>
          <c:showLegendKey val="0"/>
          <c:showVal val="0"/>
          <c:showCatName val="0"/>
          <c:showSerName val="0"/>
          <c:showPercent val="0"/>
          <c:showBubbleSize val="0"/>
        </c:dLbls>
        <c:smooth val="0"/>
        <c:axId val="476442936"/>
        <c:axId val="476439656"/>
      </c:lineChart>
      <c:catAx>
        <c:axId val="4764429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476439656"/>
        <c:crosses val="autoZero"/>
        <c:auto val="1"/>
        <c:lblAlgn val="ctr"/>
        <c:lblOffset val="100"/>
        <c:noMultiLvlLbl val="0"/>
      </c:catAx>
      <c:valAx>
        <c:axId val="476439656"/>
        <c:scaling>
          <c:orientation val="minMax"/>
          <c:min val="8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47644293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lef" panose="00000500000000000000" pitchFamily="2" charset="-79"/>
          <a:cs typeface="Alef" panose="00000500000000000000" pitchFamily="2" charset="-79"/>
        </a:defRPr>
      </a:pPr>
      <a:endParaRPr lang="he-IL"/>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'תרשימים גידולים'!$A$271</c:f>
          <c:strCache>
            <c:ptCount val="1"/>
            <c:pt idx="0">
              <c:v>נקטרינה</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title>
    <c:autoTitleDeleted val="0"/>
    <c:plotArea>
      <c:layout/>
      <c:lineChart>
        <c:grouping val="standard"/>
        <c:varyColors val="0"/>
        <c:ser>
          <c:idx val="0"/>
          <c:order val="0"/>
          <c:tx>
            <c:strRef>
              <c:f>'תרשימים גידולים'!$C$1</c:f>
              <c:strCache>
                <c:ptCount val="1"/>
                <c:pt idx="0">
                  <c:v>מחיר קניה</c:v>
                </c:pt>
              </c:strCache>
            </c:strRef>
          </c:tx>
          <c:spPr>
            <a:ln w="28575" cap="rnd">
              <a:solidFill>
                <a:schemeClr val="accent1"/>
              </a:solidFill>
              <a:round/>
            </a:ln>
            <a:effectLst/>
          </c:spPr>
          <c:marker>
            <c:symbol val="none"/>
          </c:marker>
          <c:cat>
            <c:multiLvlStrRef>
              <c:f>'תרשימים גידולים'!$A$272:$B$295</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גידולים'!$C$272:$C$295</c:f>
              <c:numCache>
                <c:formatCode>General</c:formatCode>
                <c:ptCount val="24"/>
                <c:pt idx="3" formatCode="0.00">
                  <c:v>9.3213559163503437</c:v>
                </c:pt>
                <c:pt idx="4" formatCode="0.00">
                  <c:v>5.0818062268111701</c:v>
                </c:pt>
                <c:pt idx="5" formatCode="0.00">
                  <c:v>5.3364022054816003</c:v>
                </c:pt>
                <c:pt idx="6" formatCode="0.00">
                  <c:v>4.795890243619267</c:v>
                </c:pt>
                <c:pt idx="7" formatCode="0.00">
                  <c:v>5.1812596325350233</c:v>
                </c:pt>
                <c:pt idx="8" formatCode="0.00">
                  <c:v>5.5992971402865237</c:v>
                </c:pt>
                <c:pt idx="9" formatCode="0.00">
                  <c:v>6.0463017450461694</c:v>
                </c:pt>
                <c:pt idx="15" formatCode="0.00">
                  <c:v>10.580809474698469</c:v>
                </c:pt>
                <c:pt idx="16" formatCode="0.00">
                  <c:v>8.716977734175348</c:v>
                </c:pt>
                <c:pt idx="17" formatCode="0.00">
                  <c:v>5.923451444020575</c:v>
                </c:pt>
                <c:pt idx="18" formatCode="0.00">
                  <c:v>7.0595414157491865</c:v>
                </c:pt>
                <c:pt idx="19" formatCode="0.00">
                  <c:v>7.1608700139701149</c:v>
                </c:pt>
                <c:pt idx="20" formatCode="0.00">
                  <c:v>7.5795237351368243</c:v>
                </c:pt>
                <c:pt idx="21" formatCode="0.00">
                  <c:v>7.6094941324670158</c:v>
                </c:pt>
              </c:numCache>
            </c:numRef>
          </c:val>
          <c:smooth val="0"/>
          <c:extLst>
            <c:ext xmlns:c16="http://schemas.microsoft.com/office/drawing/2014/chart" uri="{C3380CC4-5D6E-409C-BE32-E72D297353CC}">
              <c16:uniqueId val="{00000000-2601-47A6-880A-99A1F187F510}"/>
            </c:ext>
          </c:extLst>
        </c:ser>
        <c:ser>
          <c:idx val="1"/>
          <c:order val="1"/>
          <c:tx>
            <c:strRef>
              <c:f>'תרשימים גידולים'!$D$1</c:f>
              <c:strCache>
                <c:ptCount val="1"/>
                <c:pt idx="0">
                  <c:v>מחיר מכירה</c:v>
                </c:pt>
              </c:strCache>
            </c:strRef>
          </c:tx>
          <c:spPr>
            <a:ln w="28575" cap="rnd">
              <a:solidFill>
                <a:schemeClr val="accent2"/>
              </a:solidFill>
              <a:round/>
            </a:ln>
            <a:effectLst/>
          </c:spPr>
          <c:marker>
            <c:symbol val="none"/>
          </c:marker>
          <c:cat>
            <c:multiLvlStrRef>
              <c:f>'תרשימים גידולים'!$A$272:$B$295</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גידולים'!$D$272:$D$295</c:f>
              <c:numCache>
                <c:formatCode>General</c:formatCode>
                <c:ptCount val="24"/>
                <c:pt idx="3" formatCode="0.00">
                  <c:v>18.40685100515277</c:v>
                </c:pt>
                <c:pt idx="4" formatCode="0.00">
                  <c:v>10.490762270394841</c:v>
                </c:pt>
                <c:pt idx="5" formatCode="0.00">
                  <c:v>8.0851621604070427</c:v>
                </c:pt>
                <c:pt idx="6" formatCode="0.00">
                  <c:v>8.5946922727989428</c:v>
                </c:pt>
                <c:pt idx="7" formatCode="0.00">
                  <c:v>9.0701166559768076</c:v>
                </c:pt>
                <c:pt idx="8" formatCode="0.00">
                  <c:v>10.095177619290149</c:v>
                </c:pt>
                <c:pt idx="9" formatCode="0.00">
                  <c:v>11.897474991901275</c:v>
                </c:pt>
                <c:pt idx="15" formatCode="0.00">
                  <c:v>18.91369508581251</c:v>
                </c:pt>
                <c:pt idx="16" formatCode="0.00">
                  <c:v>14.903473462354247</c:v>
                </c:pt>
                <c:pt idx="17" formatCode="0.00">
                  <c:v>10.968247858274625</c:v>
                </c:pt>
                <c:pt idx="18" formatCode="0.00">
                  <c:v>11.308929998931811</c:v>
                </c:pt>
                <c:pt idx="19" formatCode="0.00">
                  <c:v>11.353212836012332</c:v>
                </c:pt>
                <c:pt idx="20" formatCode="0.00">
                  <c:v>11.33412028403715</c:v>
                </c:pt>
                <c:pt idx="21" formatCode="0.00">
                  <c:v>10.691947059058537</c:v>
                </c:pt>
              </c:numCache>
            </c:numRef>
          </c:val>
          <c:smooth val="0"/>
          <c:extLst>
            <c:ext xmlns:c16="http://schemas.microsoft.com/office/drawing/2014/chart" uri="{C3380CC4-5D6E-409C-BE32-E72D297353CC}">
              <c16:uniqueId val="{00000001-2601-47A6-880A-99A1F187F510}"/>
            </c:ext>
          </c:extLst>
        </c:ser>
        <c:dLbls>
          <c:showLegendKey val="0"/>
          <c:showVal val="0"/>
          <c:showCatName val="0"/>
          <c:showSerName val="0"/>
          <c:showPercent val="0"/>
          <c:showBubbleSize val="0"/>
        </c:dLbls>
        <c:smooth val="0"/>
        <c:axId val="517956912"/>
        <c:axId val="517950680"/>
      </c:lineChart>
      <c:catAx>
        <c:axId val="517956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0680"/>
        <c:crosses val="autoZero"/>
        <c:auto val="1"/>
        <c:lblAlgn val="ctr"/>
        <c:lblOffset val="100"/>
        <c:noMultiLvlLbl val="0"/>
      </c:catAx>
      <c:valAx>
        <c:axId val="5179506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low"/>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6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lef" panose="00000500000000000000" pitchFamily="2" charset="-79"/>
          <a:cs typeface="Alef" panose="00000500000000000000" pitchFamily="2" charset="-79"/>
        </a:defRPr>
      </a:pPr>
      <a:endParaRPr lang="he-IL"/>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'תרשימים גידולים'!$A$298</c:f>
          <c:strCache>
            <c:ptCount val="1"/>
            <c:pt idx="0">
              <c:v>בצל</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title>
    <c:autoTitleDeleted val="0"/>
    <c:plotArea>
      <c:layout/>
      <c:lineChart>
        <c:grouping val="standard"/>
        <c:varyColors val="0"/>
        <c:ser>
          <c:idx val="0"/>
          <c:order val="0"/>
          <c:tx>
            <c:strRef>
              <c:f>'תרשימים גידולים'!$C$1</c:f>
              <c:strCache>
                <c:ptCount val="1"/>
                <c:pt idx="0">
                  <c:v>מחיר קניה</c:v>
                </c:pt>
              </c:strCache>
            </c:strRef>
          </c:tx>
          <c:spPr>
            <a:ln w="28575" cap="rnd">
              <a:solidFill>
                <a:schemeClr val="accent1"/>
              </a:solidFill>
              <a:round/>
            </a:ln>
            <a:effectLst/>
          </c:spPr>
          <c:marker>
            <c:symbol val="none"/>
          </c:marker>
          <c:cat>
            <c:multiLvlStrRef>
              <c:f>'תרשימים גידולים'!$A$299:$B$322</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גידולים'!$C$299:$C$322</c:f>
              <c:numCache>
                <c:formatCode>0.00</c:formatCode>
                <c:ptCount val="24"/>
                <c:pt idx="0">
                  <c:v>2.1439771833239658</c:v>
                </c:pt>
                <c:pt idx="1">
                  <c:v>2.0249144899488996</c:v>
                </c:pt>
                <c:pt idx="2">
                  <c:v>2.047783948844252</c:v>
                </c:pt>
                <c:pt idx="3">
                  <c:v>2.1047372859111175</c:v>
                </c:pt>
                <c:pt idx="4">
                  <c:v>1.3370991364883185</c:v>
                </c:pt>
                <c:pt idx="5">
                  <c:v>1.1605004581638456</c:v>
                </c:pt>
                <c:pt idx="6">
                  <c:v>1.1726781750163378</c:v>
                </c:pt>
                <c:pt idx="7">
                  <c:v>1.2210685891689004</c:v>
                </c:pt>
                <c:pt idx="8">
                  <c:v>1.2534462076729418</c:v>
                </c:pt>
                <c:pt idx="9">
                  <c:v>1.5072824794012056</c:v>
                </c:pt>
                <c:pt idx="10">
                  <c:v>1.5975800446491528</c:v>
                </c:pt>
                <c:pt idx="11">
                  <c:v>1.8646998216028918</c:v>
                </c:pt>
                <c:pt idx="12">
                  <c:v>1.905437800411379</c:v>
                </c:pt>
                <c:pt idx="13">
                  <c:v>1.7615023641028682</c:v>
                </c:pt>
                <c:pt idx="14">
                  <c:v>1.5896721784117962</c:v>
                </c:pt>
                <c:pt idx="15">
                  <c:v>1.6556760882753196</c:v>
                </c:pt>
                <c:pt idx="16">
                  <c:v>1.6181194204999967</c:v>
                </c:pt>
                <c:pt idx="17">
                  <c:v>1.6307198393212468</c:v>
                </c:pt>
                <c:pt idx="18">
                  <c:v>2.0999602307275285</c:v>
                </c:pt>
                <c:pt idx="19">
                  <c:v>2.3270797070175853</c:v>
                </c:pt>
                <c:pt idx="20">
                  <c:v>3.0676103797391354</c:v>
                </c:pt>
                <c:pt idx="21">
                  <c:v>3.6215584892249288</c:v>
                </c:pt>
                <c:pt idx="22">
                  <c:v>4.4121894554504477</c:v>
                </c:pt>
                <c:pt idx="23">
                  <c:v>3.8668724056564732</c:v>
                </c:pt>
              </c:numCache>
            </c:numRef>
          </c:val>
          <c:smooth val="0"/>
          <c:extLst>
            <c:ext xmlns:c16="http://schemas.microsoft.com/office/drawing/2014/chart" uri="{C3380CC4-5D6E-409C-BE32-E72D297353CC}">
              <c16:uniqueId val="{00000000-CAE6-4AED-80FE-E92AA1FB7C63}"/>
            </c:ext>
          </c:extLst>
        </c:ser>
        <c:ser>
          <c:idx val="1"/>
          <c:order val="1"/>
          <c:tx>
            <c:strRef>
              <c:f>'תרשימים גידולים'!$D$1</c:f>
              <c:strCache>
                <c:ptCount val="1"/>
                <c:pt idx="0">
                  <c:v>מחיר מכירה</c:v>
                </c:pt>
              </c:strCache>
            </c:strRef>
          </c:tx>
          <c:spPr>
            <a:ln w="28575" cap="rnd">
              <a:solidFill>
                <a:schemeClr val="accent2"/>
              </a:solidFill>
              <a:round/>
            </a:ln>
            <a:effectLst/>
          </c:spPr>
          <c:marker>
            <c:symbol val="none"/>
          </c:marker>
          <c:cat>
            <c:multiLvlStrRef>
              <c:f>'תרשימים גידולים'!$A$299:$B$322</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גידולים'!$D$299:$D$322</c:f>
              <c:numCache>
                <c:formatCode>0.00</c:formatCode>
                <c:ptCount val="24"/>
                <c:pt idx="0">
                  <c:v>3.3858433362172979</c:v>
                </c:pt>
                <c:pt idx="1">
                  <c:v>3.3198982148640357</c:v>
                </c:pt>
                <c:pt idx="2">
                  <c:v>3.4625939780287522</c:v>
                </c:pt>
                <c:pt idx="3">
                  <c:v>3.7380771379838622</c:v>
                </c:pt>
                <c:pt idx="4">
                  <c:v>3.111147660569769</c:v>
                </c:pt>
                <c:pt idx="5">
                  <c:v>2.5702369777077756</c:v>
                </c:pt>
                <c:pt idx="6">
                  <c:v>2.497979278784018</c:v>
                </c:pt>
                <c:pt idx="7">
                  <c:v>2.6852269797131334</c:v>
                </c:pt>
                <c:pt idx="8">
                  <c:v>2.9313710160073683</c:v>
                </c:pt>
                <c:pt idx="9">
                  <c:v>3.1872651867358766</c:v>
                </c:pt>
                <c:pt idx="10">
                  <c:v>3.1643402857870222</c:v>
                </c:pt>
                <c:pt idx="11">
                  <c:v>3.2552303693667586</c:v>
                </c:pt>
                <c:pt idx="12">
                  <c:v>3.2571169270976115</c:v>
                </c:pt>
                <c:pt idx="13">
                  <c:v>3.1307218646892281</c:v>
                </c:pt>
                <c:pt idx="14">
                  <c:v>2.7734957553516701</c:v>
                </c:pt>
                <c:pt idx="15">
                  <c:v>3.106298947941756</c:v>
                </c:pt>
                <c:pt idx="16">
                  <c:v>3.0418343534553594</c:v>
                </c:pt>
                <c:pt idx="17">
                  <c:v>3.1664956424045956</c:v>
                </c:pt>
                <c:pt idx="18">
                  <c:v>3.4588697780241633</c:v>
                </c:pt>
                <c:pt idx="19">
                  <c:v>3.5385456203743542</c:v>
                </c:pt>
                <c:pt idx="20">
                  <c:v>4.2702563164839864</c:v>
                </c:pt>
                <c:pt idx="21">
                  <c:v>4.8165175578906849</c:v>
                </c:pt>
                <c:pt idx="22">
                  <c:v>5.4089450593427797</c:v>
                </c:pt>
                <c:pt idx="23">
                  <c:v>5.6954044117888047</c:v>
                </c:pt>
              </c:numCache>
            </c:numRef>
          </c:val>
          <c:smooth val="0"/>
          <c:extLst>
            <c:ext xmlns:c16="http://schemas.microsoft.com/office/drawing/2014/chart" uri="{C3380CC4-5D6E-409C-BE32-E72D297353CC}">
              <c16:uniqueId val="{00000001-CAE6-4AED-80FE-E92AA1FB7C63}"/>
            </c:ext>
          </c:extLst>
        </c:ser>
        <c:dLbls>
          <c:showLegendKey val="0"/>
          <c:showVal val="0"/>
          <c:showCatName val="0"/>
          <c:showSerName val="0"/>
          <c:showPercent val="0"/>
          <c:showBubbleSize val="0"/>
        </c:dLbls>
        <c:smooth val="0"/>
        <c:axId val="517956912"/>
        <c:axId val="517950680"/>
      </c:lineChart>
      <c:catAx>
        <c:axId val="517956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0680"/>
        <c:crosses val="autoZero"/>
        <c:auto val="1"/>
        <c:lblAlgn val="ctr"/>
        <c:lblOffset val="100"/>
        <c:noMultiLvlLbl val="0"/>
      </c:catAx>
      <c:valAx>
        <c:axId val="5179506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low"/>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6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lef" panose="00000500000000000000" pitchFamily="2" charset="-79"/>
          <a:cs typeface="Alef" panose="00000500000000000000" pitchFamily="2" charset="-79"/>
        </a:defRPr>
      </a:pPr>
      <a:endParaRPr lang="he-IL"/>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'תרשימים גידולים'!$A$325</c:f>
          <c:strCache>
            <c:ptCount val="1"/>
            <c:pt idx="0">
              <c:v>תפוזים</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title>
    <c:autoTitleDeleted val="0"/>
    <c:plotArea>
      <c:layout/>
      <c:lineChart>
        <c:grouping val="standard"/>
        <c:varyColors val="0"/>
        <c:ser>
          <c:idx val="0"/>
          <c:order val="0"/>
          <c:tx>
            <c:strRef>
              <c:f>'תרשימים גידולים'!$C$1</c:f>
              <c:strCache>
                <c:ptCount val="1"/>
                <c:pt idx="0">
                  <c:v>מחיר קניה</c:v>
                </c:pt>
              </c:strCache>
            </c:strRef>
          </c:tx>
          <c:spPr>
            <a:ln w="28575" cap="rnd">
              <a:solidFill>
                <a:schemeClr val="accent1"/>
              </a:solidFill>
              <a:round/>
            </a:ln>
            <a:effectLst/>
          </c:spPr>
          <c:marker>
            <c:symbol val="none"/>
          </c:marker>
          <c:cat>
            <c:multiLvlStrRef>
              <c:f>'תרשימים גידולים'!$A$326:$B$349</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גידולים'!$C$326:$C$349</c:f>
              <c:numCache>
                <c:formatCode>0.00</c:formatCode>
                <c:ptCount val="24"/>
                <c:pt idx="0">
                  <c:v>2.6036887317839068</c:v>
                </c:pt>
                <c:pt idx="1">
                  <c:v>2.5633959485139015</c:v>
                </c:pt>
                <c:pt idx="2">
                  <c:v>2.5816039088590732</c:v>
                </c:pt>
                <c:pt idx="3">
                  <c:v>2.6350944536115946</c:v>
                </c:pt>
                <c:pt idx="4">
                  <c:v>2.823964186477308</c:v>
                </c:pt>
                <c:pt idx="5">
                  <c:v>2.9849193430617937</c:v>
                </c:pt>
                <c:pt idx="6">
                  <c:v>2.9990997871217906</c:v>
                </c:pt>
                <c:pt idx="7">
                  <c:v>3.4059061681352705</c:v>
                </c:pt>
                <c:pt idx="8">
                  <c:v>3.3361263844676543</c:v>
                </c:pt>
                <c:pt idx="9">
                  <c:v>3.5279814532999625</c:v>
                </c:pt>
                <c:pt idx="10">
                  <c:v>2.9748864875009926</c:v>
                </c:pt>
                <c:pt idx="11">
                  <c:v>2.5604523316352235</c:v>
                </c:pt>
                <c:pt idx="12">
                  <c:v>2.58342477775409</c:v>
                </c:pt>
                <c:pt idx="13">
                  <c:v>2.7801594057726589</c:v>
                </c:pt>
                <c:pt idx="14">
                  <c:v>2.656073378876763</c:v>
                </c:pt>
                <c:pt idx="15">
                  <c:v>2.6623219925083226</c:v>
                </c:pt>
                <c:pt idx="16">
                  <c:v>2.9706506460304567</c:v>
                </c:pt>
                <c:pt idx="17">
                  <c:v>3.3259928462258639</c:v>
                </c:pt>
                <c:pt idx="18">
                  <c:v>4.4477334235453316</c:v>
                </c:pt>
                <c:pt idx="19">
                  <c:v>4.0806311169934872</c:v>
                </c:pt>
                <c:pt idx="20">
                  <c:v>3.6196876475653452</c:v>
                </c:pt>
                <c:pt idx="21">
                  <c:v>3.1230838769804286</c:v>
                </c:pt>
                <c:pt idx="22">
                  <c:v>2.8377126923959843</c:v>
                </c:pt>
                <c:pt idx="23">
                  <c:v>2.6574454691542653</c:v>
                </c:pt>
              </c:numCache>
            </c:numRef>
          </c:val>
          <c:smooth val="0"/>
          <c:extLst>
            <c:ext xmlns:c16="http://schemas.microsoft.com/office/drawing/2014/chart" uri="{C3380CC4-5D6E-409C-BE32-E72D297353CC}">
              <c16:uniqueId val="{00000000-0A13-4F8B-890C-D60F01AE49EF}"/>
            </c:ext>
          </c:extLst>
        </c:ser>
        <c:ser>
          <c:idx val="1"/>
          <c:order val="1"/>
          <c:tx>
            <c:strRef>
              <c:f>'תרשימים גידולים'!$D$1</c:f>
              <c:strCache>
                <c:ptCount val="1"/>
                <c:pt idx="0">
                  <c:v>מחיר מכירה</c:v>
                </c:pt>
              </c:strCache>
            </c:strRef>
          </c:tx>
          <c:spPr>
            <a:ln w="28575" cap="rnd">
              <a:solidFill>
                <a:schemeClr val="accent2"/>
              </a:solidFill>
              <a:round/>
            </a:ln>
            <a:effectLst/>
          </c:spPr>
          <c:marker>
            <c:symbol val="none"/>
          </c:marker>
          <c:cat>
            <c:multiLvlStrRef>
              <c:f>'תרשימים גידולים'!$A$326:$B$349</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גידולים'!$D$326:$D$349</c:f>
              <c:numCache>
                <c:formatCode>0.00</c:formatCode>
                <c:ptCount val="24"/>
                <c:pt idx="0">
                  <c:v>4.2971769053592883</c:v>
                </c:pt>
                <c:pt idx="1">
                  <c:v>4.2648202260085739</c:v>
                </c:pt>
                <c:pt idx="2">
                  <c:v>4.3684652771777888</c:v>
                </c:pt>
                <c:pt idx="3">
                  <c:v>4.8107438064400281</c:v>
                </c:pt>
                <c:pt idx="4">
                  <c:v>5.147026418125801</c:v>
                </c:pt>
                <c:pt idx="5">
                  <c:v>5.4695744901790064</c:v>
                </c:pt>
                <c:pt idx="6">
                  <c:v>5.4971558795890667</c:v>
                </c:pt>
                <c:pt idx="7">
                  <c:v>5.7476682672267412</c:v>
                </c:pt>
                <c:pt idx="8">
                  <c:v>5.9756017399362795</c:v>
                </c:pt>
                <c:pt idx="9">
                  <c:v>6.1535568869469053</c:v>
                </c:pt>
                <c:pt idx="10">
                  <c:v>4.8914196119689235</c:v>
                </c:pt>
                <c:pt idx="11">
                  <c:v>4.2967344935813232</c:v>
                </c:pt>
                <c:pt idx="12">
                  <c:v>4.395414849112524</c:v>
                </c:pt>
                <c:pt idx="13">
                  <c:v>4.5294513366096405</c:v>
                </c:pt>
                <c:pt idx="14">
                  <c:v>4.3934746486833491</c:v>
                </c:pt>
                <c:pt idx="15">
                  <c:v>4.6141493919833536</c:v>
                </c:pt>
                <c:pt idx="16">
                  <c:v>5.2042849073565796</c:v>
                </c:pt>
                <c:pt idx="17">
                  <c:v>6.1198851452845719</c:v>
                </c:pt>
                <c:pt idx="18">
                  <c:v>6.7291546866014951</c:v>
                </c:pt>
                <c:pt idx="19">
                  <c:v>6.5638037843988366</c:v>
                </c:pt>
                <c:pt idx="20">
                  <c:v>6.2538224006972394</c:v>
                </c:pt>
                <c:pt idx="21">
                  <c:v>5.4504974416687935</c:v>
                </c:pt>
                <c:pt idx="22">
                  <c:v>5.0570197712718867</c:v>
                </c:pt>
                <c:pt idx="23">
                  <c:v>4.7928640701976279</c:v>
                </c:pt>
              </c:numCache>
            </c:numRef>
          </c:val>
          <c:smooth val="0"/>
          <c:extLst>
            <c:ext xmlns:c16="http://schemas.microsoft.com/office/drawing/2014/chart" uri="{C3380CC4-5D6E-409C-BE32-E72D297353CC}">
              <c16:uniqueId val="{00000001-0A13-4F8B-890C-D60F01AE49EF}"/>
            </c:ext>
          </c:extLst>
        </c:ser>
        <c:dLbls>
          <c:showLegendKey val="0"/>
          <c:showVal val="0"/>
          <c:showCatName val="0"/>
          <c:showSerName val="0"/>
          <c:showPercent val="0"/>
          <c:showBubbleSize val="0"/>
        </c:dLbls>
        <c:smooth val="0"/>
        <c:axId val="517956912"/>
        <c:axId val="517950680"/>
      </c:lineChart>
      <c:catAx>
        <c:axId val="517956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0680"/>
        <c:crosses val="autoZero"/>
        <c:auto val="1"/>
        <c:lblAlgn val="ctr"/>
        <c:lblOffset val="100"/>
        <c:noMultiLvlLbl val="0"/>
      </c:catAx>
      <c:valAx>
        <c:axId val="5179506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low"/>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6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lef" panose="00000500000000000000" pitchFamily="2" charset="-79"/>
          <a:cs typeface="Alef" panose="00000500000000000000" pitchFamily="2" charset="-79"/>
        </a:defRPr>
      </a:pPr>
      <a:endParaRPr lang="he-IL"/>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'תרשימים גידולים'!$A$352</c:f>
          <c:strCache>
            <c:ptCount val="1"/>
            <c:pt idx="0">
              <c:v>אפרסק</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title>
    <c:autoTitleDeleted val="0"/>
    <c:plotArea>
      <c:layout/>
      <c:lineChart>
        <c:grouping val="standard"/>
        <c:varyColors val="0"/>
        <c:ser>
          <c:idx val="0"/>
          <c:order val="0"/>
          <c:tx>
            <c:strRef>
              <c:f>'תרשימים גידולים'!$C$1</c:f>
              <c:strCache>
                <c:ptCount val="1"/>
                <c:pt idx="0">
                  <c:v>מחיר קניה</c:v>
                </c:pt>
              </c:strCache>
            </c:strRef>
          </c:tx>
          <c:spPr>
            <a:ln w="28575" cap="rnd">
              <a:solidFill>
                <a:schemeClr val="accent1"/>
              </a:solidFill>
              <a:round/>
            </a:ln>
            <a:effectLst/>
          </c:spPr>
          <c:marker>
            <c:symbol val="none"/>
          </c:marker>
          <c:cat>
            <c:multiLvlStrRef>
              <c:f>'תרשימים גידולים'!$A$353:$B$376</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גידולים'!$C$353:$C$376</c:f>
              <c:numCache>
                <c:formatCode>General</c:formatCode>
                <c:ptCount val="24"/>
                <c:pt idx="4" formatCode="0.00">
                  <c:v>4.9936952042910123</c:v>
                </c:pt>
                <c:pt idx="5" formatCode="0.00">
                  <c:v>4.5547715117161847</c:v>
                </c:pt>
                <c:pt idx="6" formatCode="0.00">
                  <c:v>5.1393775887342636</c:v>
                </c:pt>
                <c:pt idx="7" formatCode="0.00">
                  <c:v>5.6112773245105965</c:v>
                </c:pt>
                <c:pt idx="8" formatCode="0.00">
                  <c:v>5.7450063098065325</c:v>
                </c:pt>
                <c:pt idx="9" formatCode="0.00">
                  <c:v>6.0334467010944968</c:v>
                </c:pt>
                <c:pt idx="10" formatCode="0.00">
                  <c:v>7.063175867956744</c:v>
                </c:pt>
                <c:pt idx="16" formatCode="0.00">
                  <c:v>7.5630512068698055</c:v>
                </c:pt>
                <c:pt idx="17" formatCode="0.00">
                  <c:v>9.6567942500865946</c:v>
                </c:pt>
                <c:pt idx="18" formatCode="0.00">
                  <c:v>8.246203099140093</c:v>
                </c:pt>
                <c:pt idx="19" formatCode="0.00">
                  <c:v>6.9473725003875364</c:v>
                </c:pt>
                <c:pt idx="20" formatCode="0.00">
                  <c:v>7.3912692451843522</c:v>
                </c:pt>
                <c:pt idx="21" formatCode="0.00">
                  <c:v>8.3898083338784595</c:v>
                </c:pt>
                <c:pt idx="22" formatCode="0.00">
                  <c:v>6.3410306975099706</c:v>
                </c:pt>
              </c:numCache>
            </c:numRef>
          </c:val>
          <c:smooth val="0"/>
          <c:extLst>
            <c:ext xmlns:c16="http://schemas.microsoft.com/office/drawing/2014/chart" uri="{C3380CC4-5D6E-409C-BE32-E72D297353CC}">
              <c16:uniqueId val="{00000000-5FA0-40D5-848A-2268147DCAA3}"/>
            </c:ext>
          </c:extLst>
        </c:ser>
        <c:ser>
          <c:idx val="1"/>
          <c:order val="1"/>
          <c:tx>
            <c:strRef>
              <c:f>'תרשימים גידולים'!$D$1</c:f>
              <c:strCache>
                <c:ptCount val="1"/>
                <c:pt idx="0">
                  <c:v>מחיר מכירה</c:v>
                </c:pt>
              </c:strCache>
            </c:strRef>
          </c:tx>
          <c:spPr>
            <a:ln w="28575" cap="rnd">
              <a:solidFill>
                <a:schemeClr val="accent2"/>
              </a:solidFill>
              <a:round/>
            </a:ln>
            <a:effectLst/>
          </c:spPr>
          <c:marker>
            <c:symbol val="none"/>
          </c:marker>
          <c:cat>
            <c:multiLvlStrRef>
              <c:f>'תרשימים גידולים'!$A$353:$B$376</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גידולים'!$D$353:$D$376</c:f>
              <c:numCache>
                <c:formatCode>General</c:formatCode>
                <c:ptCount val="24"/>
                <c:pt idx="4" formatCode="0.00">
                  <c:v>9.7985344145167605</c:v>
                </c:pt>
                <c:pt idx="5" formatCode="0.00">
                  <c:v>8.1428107296198764</c:v>
                </c:pt>
                <c:pt idx="6" formatCode="0.00">
                  <c:v>7.5222233125303086</c:v>
                </c:pt>
                <c:pt idx="7" formatCode="0.00">
                  <c:v>8.6175855845828817</c:v>
                </c:pt>
                <c:pt idx="8" formatCode="0.00">
                  <c:v>9.46160994308282</c:v>
                </c:pt>
                <c:pt idx="9" formatCode="0.00">
                  <c:v>11.976060638865526</c:v>
                </c:pt>
                <c:pt idx="10" formatCode="0.00">
                  <c:v>13.474074074074075</c:v>
                </c:pt>
                <c:pt idx="16" formatCode="0.00">
                  <c:v>13.730760120143641</c:v>
                </c:pt>
                <c:pt idx="17" formatCode="0.00">
                  <c:v>13.919293443584197</c:v>
                </c:pt>
                <c:pt idx="18" formatCode="0.00">
                  <c:v>13.924310883846381</c:v>
                </c:pt>
                <c:pt idx="19" formatCode="0.00">
                  <c:v>11.271015681720579</c:v>
                </c:pt>
                <c:pt idx="20" formatCode="0.00">
                  <c:v>12.712566758034857</c:v>
                </c:pt>
                <c:pt idx="21" formatCode="0.00">
                  <c:v>11.490148681930128</c:v>
                </c:pt>
                <c:pt idx="22" formatCode="0.00">
                  <c:v>10.430095617793445</c:v>
                </c:pt>
              </c:numCache>
            </c:numRef>
          </c:val>
          <c:smooth val="0"/>
          <c:extLst>
            <c:ext xmlns:c16="http://schemas.microsoft.com/office/drawing/2014/chart" uri="{C3380CC4-5D6E-409C-BE32-E72D297353CC}">
              <c16:uniqueId val="{00000001-5FA0-40D5-848A-2268147DCAA3}"/>
            </c:ext>
          </c:extLst>
        </c:ser>
        <c:dLbls>
          <c:showLegendKey val="0"/>
          <c:showVal val="0"/>
          <c:showCatName val="0"/>
          <c:showSerName val="0"/>
          <c:showPercent val="0"/>
          <c:showBubbleSize val="0"/>
        </c:dLbls>
        <c:smooth val="0"/>
        <c:axId val="517956912"/>
        <c:axId val="517950680"/>
      </c:lineChart>
      <c:catAx>
        <c:axId val="517956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0680"/>
        <c:crosses val="autoZero"/>
        <c:auto val="1"/>
        <c:lblAlgn val="ctr"/>
        <c:lblOffset val="100"/>
        <c:noMultiLvlLbl val="0"/>
      </c:catAx>
      <c:valAx>
        <c:axId val="5179506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low"/>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6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lef" panose="00000500000000000000" pitchFamily="2" charset="-79"/>
          <a:cs typeface="Alef" panose="00000500000000000000" pitchFamily="2" charset="-79"/>
        </a:defRPr>
      </a:pPr>
      <a:endParaRPr lang="he-IL"/>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'תרשימים גידולים'!$A$379</c:f>
          <c:strCache>
            <c:ptCount val="1"/>
            <c:pt idx="0">
              <c:v>אגסים</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title>
    <c:autoTitleDeleted val="0"/>
    <c:plotArea>
      <c:layout/>
      <c:lineChart>
        <c:grouping val="standard"/>
        <c:varyColors val="0"/>
        <c:ser>
          <c:idx val="0"/>
          <c:order val="0"/>
          <c:tx>
            <c:strRef>
              <c:f>'תרשימים גידולים'!$C$1</c:f>
              <c:strCache>
                <c:ptCount val="1"/>
                <c:pt idx="0">
                  <c:v>מחיר קניה</c:v>
                </c:pt>
              </c:strCache>
            </c:strRef>
          </c:tx>
          <c:spPr>
            <a:ln w="28575" cap="rnd">
              <a:solidFill>
                <a:schemeClr val="accent1"/>
              </a:solidFill>
              <a:round/>
            </a:ln>
            <a:effectLst/>
          </c:spPr>
          <c:marker>
            <c:symbol val="none"/>
          </c:marker>
          <c:cat>
            <c:multiLvlStrRef>
              <c:f>'תרשימים גידולים'!$A$380:$B$403</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גידולים'!$C$380:$C$403</c:f>
              <c:numCache>
                <c:formatCode>0.00</c:formatCode>
                <c:ptCount val="24"/>
                <c:pt idx="0">
                  <c:v>5.8883840353782055</c:v>
                </c:pt>
                <c:pt idx="1">
                  <c:v>6.4814257080431457</c:v>
                </c:pt>
                <c:pt idx="2">
                  <c:v>6.3715700922345775</c:v>
                </c:pt>
                <c:pt idx="3">
                  <c:v>6.7319575865859997</c:v>
                </c:pt>
                <c:pt idx="4">
                  <c:v>6.8235053235053238</c:v>
                </c:pt>
                <c:pt idx="5">
                  <c:v>6.7487275274340419</c:v>
                </c:pt>
                <c:pt idx="6">
                  <c:v>5.5825347623933119</c:v>
                </c:pt>
                <c:pt idx="7">
                  <c:v>4.9246009519384124</c:v>
                </c:pt>
                <c:pt idx="8">
                  <c:v>5.2721274824592701</c:v>
                </c:pt>
                <c:pt idx="9">
                  <c:v>5.7988784514971305</c:v>
                </c:pt>
                <c:pt idx="10">
                  <c:v>5.5585327523394525</c:v>
                </c:pt>
                <c:pt idx="11">
                  <c:v>5.6419340247955194</c:v>
                </c:pt>
                <c:pt idx="12">
                  <c:v>5.7557983902322007</c:v>
                </c:pt>
                <c:pt idx="13">
                  <c:v>5.668164564740036</c:v>
                </c:pt>
                <c:pt idx="14">
                  <c:v>5.8412324117022107</c:v>
                </c:pt>
                <c:pt idx="15">
                  <c:v>6.0103976846392966</c:v>
                </c:pt>
                <c:pt idx="16">
                  <c:v>6.4320715823844159</c:v>
                </c:pt>
                <c:pt idx="17">
                  <c:v>7.4297901823831589</c:v>
                </c:pt>
                <c:pt idx="18">
                  <c:v>6.4803063622350328</c:v>
                </c:pt>
                <c:pt idx="19">
                  <c:v>5.6962231306870628</c:v>
                </c:pt>
                <c:pt idx="20">
                  <c:v>5.9664963258095005</c:v>
                </c:pt>
                <c:pt idx="21">
                  <c:v>6.2751477336126706</c:v>
                </c:pt>
                <c:pt idx="22">
                  <c:v>6.4849463237148308</c:v>
                </c:pt>
                <c:pt idx="23">
                  <c:v>5.9839477397770695</c:v>
                </c:pt>
              </c:numCache>
            </c:numRef>
          </c:val>
          <c:smooth val="0"/>
          <c:extLst>
            <c:ext xmlns:c16="http://schemas.microsoft.com/office/drawing/2014/chart" uri="{C3380CC4-5D6E-409C-BE32-E72D297353CC}">
              <c16:uniqueId val="{00000000-82DA-4D18-BE27-9D94B5D7AC53}"/>
            </c:ext>
          </c:extLst>
        </c:ser>
        <c:ser>
          <c:idx val="1"/>
          <c:order val="1"/>
          <c:tx>
            <c:strRef>
              <c:f>'תרשימים גידולים'!$D$1</c:f>
              <c:strCache>
                <c:ptCount val="1"/>
                <c:pt idx="0">
                  <c:v>מחיר מכירה</c:v>
                </c:pt>
              </c:strCache>
            </c:strRef>
          </c:tx>
          <c:spPr>
            <a:ln w="28575" cap="rnd">
              <a:solidFill>
                <a:schemeClr val="accent2"/>
              </a:solidFill>
              <a:round/>
            </a:ln>
            <a:effectLst/>
          </c:spPr>
          <c:marker>
            <c:symbol val="none"/>
          </c:marker>
          <c:cat>
            <c:multiLvlStrRef>
              <c:f>'תרשימים גידולים'!$A$380:$B$403</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גידולים'!$D$380:$D$403</c:f>
              <c:numCache>
                <c:formatCode>0.00</c:formatCode>
                <c:ptCount val="24"/>
                <c:pt idx="0">
                  <c:v>9.99257519021217</c:v>
                </c:pt>
                <c:pt idx="1">
                  <c:v>10.190541868698636</c:v>
                </c:pt>
                <c:pt idx="2">
                  <c:v>10.1724284896291</c:v>
                </c:pt>
                <c:pt idx="3">
                  <c:v>10.728858145839506</c:v>
                </c:pt>
                <c:pt idx="4">
                  <c:v>10.739641971314569</c:v>
                </c:pt>
                <c:pt idx="5">
                  <c:v>10.762536252848681</c:v>
                </c:pt>
                <c:pt idx="6">
                  <c:v>9.918961078775693</c:v>
                </c:pt>
                <c:pt idx="7">
                  <c:v>8.752430092159603</c:v>
                </c:pt>
                <c:pt idx="8">
                  <c:v>9.8973839326385153</c:v>
                </c:pt>
                <c:pt idx="9">
                  <c:v>10.115191154441566</c:v>
                </c:pt>
                <c:pt idx="10">
                  <c:v>9.4686685441713969</c:v>
                </c:pt>
                <c:pt idx="11">
                  <c:v>9.3923423711076861</c:v>
                </c:pt>
                <c:pt idx="12">
                  <c:v>8.6440324222726925</c:v>
                </c:pt>
                <c:pt idx="13">
                  <c:v>9.4653735856393304</c:v>
                </c:pt>
                <c:pt idx="14">
                  <c:v>9.2598558826922872</c:v>
                </c:pt>
                <c:pt idx="15">
                  <c:v>9.4834282474381535</c:v>
                </c:pt>
                <c:pt idx="16">
                  <c:v>10.073364655792293</c:v>
                </c:pt>
                <c:pt idx="17">
                  <c:v>11.351800459342703</c:v>
                </c:pt>
                <c:pt idx="18">
                  <c:v>10.058149229349018</c:v>
                </c:pt>
                <c:pt idx="19">
                  <c:v>9.4898581275714005</c:v>
                </c:pt>
                <c:pt idx="20">
                  <c:v>9.5205502472043939</c:v>
                </c:pt>
                <c:pt idx="21">
                  <c:v>10.244754582589186</c:v>
                </c:pt>
                <c:pt idx="22">
                  <c:v>10.789405896170392</c:v>
                </c:pt>
                <c:pt idx="23">
                  <c:v>9.9951019834918711</c:v>
                </c:pt>
              </c:numCache>
            </c:numRef>
          </c:val>
          <c:smooth val="0"/>
          <c:extLst>
            <c:ext xmlns:c16="http://schemas.microsoft.com/office/drawing/2014/chart" uri="{C3380CC4-5D6E-409C-BE32-E72D297353CC}">
              <c16:uniqueId val="{00000001-82DA-4D18-BE27-9D94B5D7AC53}"/>
            </c:ext>
          </c:extLst>
        </c:ser>
        <c:dLbls>
          <c:showLegendKey val="0"/>
          <c:showVal val="0"/>
          <c:showCatName val="0"/>
          <c:showSerName val="0"/>
          <c:showPercent val="0"/>
          <c:showBubbleSize val="0"/>
        </c:dLbls>
        <c:smooth val="0"/>
        <c:axId val="517956912"/>
        <c:axId val="517950680"/>
      </c:lineChart>
      <c:catAx>
        <c:axId val="517956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0680"/>
        <c:crosses val="autoZero"/>
        <c:auto val="1"/>
        <c:lblAlgn val="ctr"/>
        <c:lblOffset val="100"/>
        <c:noMultiLvlLbl val="0"/>
      </c:catAx>
      <c:valAx>
        <c:axId val="5179506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low"/>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6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lef" panose="00000500000000000000" pitchFamily="2" charset="-79"/>
          <a:cs typeface="Alef" panose="00000500000000000000" pitchFamily="2" charset="-79"/>
        </a:defRPr>
      </a:pPr>
      <a:endParaRPr lang="he-IL"/>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'תרשימים גידולים'!$A$433</c:f>
          <c:strCache>
            <c:ptCount val="1"/>
            <c:pt idx="0">
              <c:v>תפו"א</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title>
    <c:autoTitleDeleted val="0"/>
    <c:plotArea>
      <c:layout/>
      <c:lineChart>
        <c:grouping val="standard"/>
        <c:varyColors val="0"/>
        <c:ser>
          <c:idx val="0"/>
          <c:order val="0"/>
          <c:tx>
            <c:strRef>
              <c:f>'תרשימים גידולים'!$C$1</c:f>
              <c:strCache>
                <c:ptCount val="1"/>
                <c:pt idx="0">
                  <c:v>מחיר קניה</c:v>
                </c:pt>
              </c:strCache>
            </c:strRef>
          </c:tx>
          <c:spPr>
            <a:ln w="28575" cap="rnd">
              <a:solidFill>
                <a:schemeClr val="accent1"/>
              </a:solidFill>
              <a:round/>
            </a:ln>
            <a:effectLst/>
          </c:spPr>
          <c:marker>
            <c:symbol val="none"/>
          </c:marker>
          <c:cat>
            <c:multiLvlStrRef>
              <c:f>'תרשימים גידולים'!$A$434:$B$457</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גידולים'!$C$434:$C$457</c:f>
              <c:numCache>
                <c:formatCode>0.00</c:formatCode>
                <c:ptCount val="24"/>
                <c:pt idx="0">
                  <c:v>2.3485547737485919</c:v>
                </c:pt>
                <c:pt idx="1">
                  <c:v>2.5149448735097599</c:v>
                </c:pt>
                <c:pt idx="2">
                  <c:v>2.5493851908355922</c:v>
                </c:pt>
                <c:pt idx="3">
                  <c:v>2.5775433826025269</c:v>
                </c:pt>
                <c:pt idx="4">
                  <c:v>2.5365516751716704</c:v>
                </c:pt>
                <c:pt idx="5">
                  <c:v>2.3079383888332829</c:v>
                </c:pt>
                <c:pt idx="6">
                  <c:v>2.0634833980817118</c:v>
                </c:pt>
                <c:pt idx="7">
                  <c:v>2.0772711500783685</c:v>
                </c:pt>
                <c:pt idx="8">
                  <c:v>2.2461899152729243</c:v>
                </c:pt>
                <c:pt idx="9">
                  <c:v>2.246176068047256</c:v>
                </c:pt>
                <c:pt idx="10">
                  <c:v>2.1520495923433041</c:v>
                </c:pt>
                <c:pt idx="11">
                  <c:v>1.9995227343272797</c:v>
                </c:pt>
                <c:pt idx="12">
                  <c:v>1.8946605572374144</c:v>
                </c:pt>
                <c:pt idx="13">
                  <c:v>1.8517951489327666</c:v>
                </c:pt>
                <c:pt idx="14">
                  <c:v>1.7940657903998662</c:v>
                </c:pt>
                <c:pt idx="15">
                  <c:v>1.8333454039002219</c:v>
                </c:pt>
                <c:pt idx="16">
                  <c:v>1.8610993816822694</c:v>
                </c:pt>
                <c:pt idx="17">
                  <c:v>1.8720717513752849</c:v>
                </c:pt>
                <c:pt idx="18">
                  <c:v>2.0912306298703869</c:v>
                </c:pt>
                <c:pt idx="19">
                  <c:v>2.3267835661808949</c:v>
                </c:pt>
                <c:pt idx="20">
                  <c:v>2.4438639100441768</c:v>
                </c:pt>
                <c:pt idx="21">
                  <c:v>2.4470212031067233</c:v>
                </c:pt>
                <c:pt idx="22">
                  <c:v>2.3998968546466637</c:v>
                </c:pt>
                <c:pt idx="23">
                  <c:v>2.3819896524661464</c:v>
                </c:pt>
              </c:numCache>
            </c:numRef>
          </c:val>
          <c:smooth val="0"/>
          <c:extLst>
            <c:ext xmlns:c16="http://schemas.microsoft.com/office/drawing/2014/chart" uri="{C3380CC4-5D6E-409C-BE32-E72D297353CC}">
              <c16:uniqueId val="{00000000-247B-42F1-99D7-849979555844}"/>
            </c:ext>
          </c:extLst>
        </c:ser>
        <c:ser>
          <c:idx val="1"/>
          <c:order val="1"/>
          <c:tx>
            <c:strRef>
              <c:f>'תרשימים גידולים'!$D$1</c:f>
              <c:strCache>
                <c:ptCount val="1"/>
                <c:pt idx="0">
                  <c:v>מחיר מכירה</c:v>
                </c:pt>
              </c:strCache>
            </c:strRef>
          </c:tx>
          <c:spPr>
            <a:ln w="28575" cap="rnd">
              <a:solidFill>
                <a:schemeClr val="accent2"/>
              </a:solidFill>
              <a:round/>
            </a:ln>
            <a:effectLst/>
          </c:spPr>
          <c:marker>
            <c:symbol val="none"/>
          </c:marker>
          <c:cat>
            <c:multiLvlStrRef>
              <c:f>'תרשימים גידולים'!$A$434:$B$457</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גידולים'!$D$434:$D$457</c:f>
              <c:numCache>
                <c:formatCode>0.00</c:formatCode>
                <c:ptCount val="24"/>
                <c:pt idx="0">
                  <c:v>3.5793670838785836</c:v>
                </c:pt>
                <c:pt idx="1">
                  <c:v>3.7635122265839525</c:v>
                </c:pt>
                <c:pt idx="2">
                  <c:v>4.0248229044141723</c:v>
                </c:pt>
                <c:pt idx="3">
                  <c:v>4.1284317121385028</c:v>
                </c:pt>
                <c:pt idx="4">
                  <c:v>4.1046096104800611</c:v>
                </c:pt>
                <c:pt idx="5">
                  <c:v>3.8021178482615254</c:v>
                </c:pt>
                <c:pt idx="6">
                  <c:v>3.5698195408317734</c:v>
                </c:pt>
                <c:pt idx="7">
                  <c:v>3.5904079161041267</c:v>
                </c:pt>
                <c:pt idx="8">
                  <c:v>3.812833536498621</c:v>
                </c:pt>
                <c:pt idx="9">
                  <c:v>3.8602504804079154</c:v>
                </c:pt>
                <c:pt idx="10">
                  <c:v>3.852371963427224</c:v>
                </c:pt>
                <c:pt idx="11">
                  <c:v>3.6832283228572185</c:v>
                </c:pt>
                <c:pt idx="12">
                  <c:v>3.6049869511630988</c:v>
                </c:pt>
                <c:pt idx="13">
                  <c:v>3.4687239380146004</c:v>
                </c:pt>
                <c:pt idx="14">
                  <c:v>3.2772817976479276</c:v>
                </c:pt>
                <c:pt idx="15">
                  <c:v>3.4343292111689929</c:v>
                </c:pt>
                <c:pt idx="16">
                  <c:v>3.438079617800152</c:v>
                </c:pt>
                <c:pt idx="17">
                  <c:v>3.5985441350946994</c:v>
                </c:pt>
                <c:pt idx="18">
                  <c:v>3.7645091223186582</c:v>
                </c:pt>
                <c:pt idx="19">
                  <c:v>3.8818144467284728</c:v>
                </c:pt>
                <c:pt idx="20">
                  <c:v>4.1729102739969539</c:v>
                </c:pt>
                <c:pt idx="21">
                  <c:v>4.079331572925339</c:v>
                </c:pt>
                <c:pt idx="22">
                  <c:v>4.1656516984156102</c:v>
                </c:pt>
                <c:pt idx="23">
                  <c:v>4.0960252070587488</c:v>
                </c:pt>
              </c:numCache>
            </c:numRef>
          </c:val>
          <c:smooth val="0"/>
          <c:extLst>
            <c:ext xmlns:c16="http://schemas.microsoft.com/office/drawing/2014/chart" uri="{C3380CC4-5D6E-409C-BE32-E72D297353CC}">
              <c16:uniqueId val="{00000001-247B-42F1-99D7-849979555844}"/>
            </c:ext>
          </c:extLst>
        </c:ser>
        <c:dLbls>
          <c:showLegendKey val="0"/>
          <c:showVal val="0"/>
          <c:showCatName val="0"/>
          <c:showSerName val="0"/>
          <c:showPercent val="0"/>
          <c:showBubbleSize val="0"/>
        </c:dLbls>
        <c:smooth val="0"/>
        <c:axId val="517956912"/>
        <c:axId val="517950680"/>
      </c:lineChart>
      <c:catAx>
        <c:axId val="517956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0680"/>
        <c:crosses val="autoZero"/>
        <c:auto val="1"/>
        <c:lblAlgn val="ctr"/>
        <c:lblOffset val="100"/>
        <c:noMultiLvlLbl val="0"/>
      </c:catAx>
      <c:valAx>
        <c:axId val="5179506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low"/>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6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lef" panose="00000500000000000000" pitchFamily="2" charset="-79"/>
          <a:cs typeface="Alef" panose="00000500000000000000" pitchFamily="2" charset="-79"/>
        </a:defRPr>
      </a:pPr>
      <a:endParaRPr lang="he-IL"/>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'תרשימים גידולים'!$A$460</c:f>
          <c:strCache>
            <c:ptCount val="1"/>
            <c:pt idx="0">
              <c:v>קישואים</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title>
    <c:autoTitleDeleted val="0"/>
    <c:plotArea>
      <c:layout/>
      <c:lineChart>
        <c:grouping val="standard"/>
        <c:varyColors val="0"/>
        <c:ser>
          <c:idx val="0"/>
          <c:order val="0"/>
          <c:tx>
            <c:strRef>
              <c:f>'תרשימים גידולים'!$C$1</c:f>
              <c:strCache>
                <c:ptCount val="1"/>
                <c:pt idx="0">
                  <c:v>מחיר קניה</c:v>
                </c:pt>
              </c:strCache>
            </c:strRef>
          </c:tx>
          <c:spPr>
            <a:ln w="28575" cap="rnd">
              <a:solidFill>
                <a:schemeClr val="accent1"/>
              </a:solidFill>
              <a:round/>
            </a:ln>
            <a:effectLst/>
          </c:spPr>
          <c:marker>
            <c:symbol val="none"/>
          </c:marker>
          <c:cat>
            <c:multiLvlStrRef>
              <c:f>'תרשימים גידולים'!$A$461:$B$484</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גידולים'!$C$461:$C$484</c:f>
              <c:numCache>
                <c:formatCode>0.00</c:formatCode>
                <c:ptCount val="24"/>
                <c:pt idx="0">
                  <c:v>5.1293686731638424</c:v>
                </c:pt>
                <c:pt idx="1">
                  <c:v>5.4725664501780518</c:v>
                </c:pt>
                <c:pt idx="2">
                  <c:v>3.5224624906680404</c:v>
                </c:pt>
                <c:pt idx="3">
                  <c:v>3.1173303635061025</c:v>
                </c:pt>
                <c:pt idx="4">
                  <c:v>2.8406278847257034</c:v>
                </c:pt>
                <c:pt idx="5">
                  <c:v>3.2813561787916115</c:v>
                </c:pt>
                <c:pt idx="6">
                  <c:v>3.8853776011413776</c:v>
                </c:pt>
                <c:pt idx="7">
                  <c:v>4.7177623303541871</c:v>
                </c:pt>
                <c:pt idx="8">
                  <c:v>5.4614291860803847</c:v>
                </c:pt>
                <c:pt idx="9">
                  <c:v>5.3318019926257154</c:v>
                </c:pt>
                <c:pt idx="10">
                  <c:v>4.3740925512318318</c:v>
                </c:pt>
                <c:pt idx="11">
                  <c:v>3.4392619475367923</c:v>
                </c:pt>
                <c:pt idx="12">
                  <c:v>4.3982898989433989</c:v>
                </c:pt>
                <c:pt idx="13">
                  <c:v>3.9439961702280719</c:v>
                </c:pt>
                <c:pt idx="14">
                  <c:v>3.7827381773059425</c:v>
                </c:pt>
                <c:pt idx="15">
                  <c:v>4.2195892894789484</c:v>
                </c:pt>
                <c:pt idx="16">
                  <c:v>4.7746062927114306</c:v>
                </c:pt>
                <c:pt idx="17">
                  <c:v>4.3787668126093955</c:v>
                </c:pt>
                <c:pt idx="18">
                  <c:v>4.5384295272609432</c:v>
                </c:pt>
                <c:pt idx="19">
                  <c:v>5.2026582970552724</c:v>
                </c:pt>
                <c:pt idx="20">
                  <c:v>5.5638100948026485</c:v>
                </c:pt>
                <c:pt idx="21">
                  <c:v>4.8731680791314593</c:v>
                </c:pt>
                <c:pt idx="22">
                  <c:v>5.3121297064595705</c:v>
                </c:pt>
                <c:pt idx="23">
                  <c:v>4.3443549571440014</c:v>
                </c:pt>
              </c:numCache>
            </c:numRef>
          </c:val>
          <c:smooth val="0"/>
          <c:extLst>
            <c:ext xmlns:c16="http://schemas.microsoft.com/office/drawing/2014/chart" uri="{C3380CC4-5D6E-409C-BE32-E72D297353CC}">
              <c16:uniqueId val="{00000000-E17B-4733-AF0C-5B0ACEEDFC12}"/>
            </c:ext>
          </c:extLst>
        </c:ser>
        <c:ser>
          <c:idx val="1"/>
          <c:order val="1"/>
          <c:tx>
            <c:strRef>
              <c:f>'תרשימים גידולים'!$D$1</c:f>
              <c:strCache>
                <c:ptCount val="1"/>
                <c:pt idx="0">
                  <c:v>מחיר מכירה</c:v>
                </c:pt>
              </c:strCache>
            </c:strRef>
          </c:tx>
          <c:spPr>
            <a:ln w="28575" cap="rnd">
              <a:solidFill>
                <a:schemeClr val="accent2"/>
              </a:solidFill>
              <a:round/>
            </a:ln>
            <a:effectLst/>
          </c:spPr>
          <c:marker>
            <c:symbol val="none"/>
          </c:marker>
          <c:cat>
            <c:multiLvlStrRef>
              <c:f>'תרשימים גידולים'!$A$461:$B$484</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גידולים'!$D$461:$D$484</c:f>
              <c:numCache>
                <c:formatCode>0.00</c:formatCode>
                <c:ptCount val="24"/>
                <c:pt idx="0">
                  <c:v>8.8317105754353502</c:v>
                </c:pt>
                <c:pt idx="1">
                  <c:v>9.1927380181205542</c:v>
                </c:pt>
                <c:pt idx="2">
                  <c:v>7.9185738666160796</c:v>
                </c:pt>
                <c:pt idx="3">
                  <c:v>6.9349778806199289</c:v>
                </c:pt>
                <c:pt idx="4">
                  <c:v>6.232659652256161</c:v>
                </c:pt>
                <c:pt idx="5">
                  <c:v>6.5349795098292551</c:v>
                </c:pt>
                <c:pt idx="6">
                  <c:v>7.2284244657065972</c:v>
                </c:pt>
                <c:pt idx="7">
                  <c:v>8.1293027429666083</c:v>
                </c:pt>
                <c:pt idx="8">
                  <c:v>8.8964520422963815</c:v>
                </c:pt>
                <c:pt idx="9">
                  <c:v>9.227813962955425</c:v>
                </c:pt>
                <c:pt idx="10">
                  <c:v>8.5894675360903818</c:v>
                </c:pt>
                <c:pt idx="11">
                  <c:v>7.3760805210800875</c:v>
                </c:pt>
                <c:pt idx="12">
                  <c:v>7.6932783435709382</c:v>
                </c:pt>
                <c:pt idx="13">
                  <c:v>7.7671876606085188</c:v>
                </c:pt>
                <c:pt idx="14">
                  <c:v>7.5661600056711054</c:v>
                </c:pt>
                <c:pt idx="15">
                  <c:v>7.8783603640788877</c:v>
                </c:pt>
                <c:pt idx="16">
                  <c:v>8.393393834757175</c:v>
                </c:pt>
                <c:pt idx="17">
                  <c:v>8.5386547066898437</c:v>
                </c:pt>
                <c:pt idx="18">
                  <c:v>8.3076317608837176</c:v>
                </c:pt>
                <c:pt idx="19">
                  <c:v>8.4101601764543812</c:v>
                </c:pt>
                <c:pt idx="20">
                  <c:v>8.8222066040316403</c:v>
                </c:pt>
                <c:pt idx="21">
                  <c:v>8.473297906279722</c:v>
                </c:pt>
                <c:pt idx="22">
                  <c:v>9.2298505119169487</c:v>
                </c:pt>
                <c:pt idx="23">
                  <c:v>8.3245788456227565</c:v>
                </c:pt>
              </c:numCache>
            </c:numRef>
          </c:val>
          <c:smooth val="0"/>
          <c:extLst>
            <c:ext xmlns:c16="http://schemas.microsoft.com/office/drawing/2014/chart" uri="{C3380CC4-5D6E-409C-BE32-E72D297353CC}">
              <c16:uniqueId val="{00000001-E17B-4733-AF0C-5B0ACEEDFC12}"/>
            </c:ext>
          </c:extLst>
        </c:ser>
        <c:dLbls>
          <c:showLegendKey val="0"/>
          <c:showVal val="0"/>
          <c:showCatName val="0"/>
          <c:showSerName val="0"/>
          <c:showPercent val="0"/>
          <c:showBubbleSize val="0"/>
        </c:dLbls>
        <c:smooth val="0"/>
        <c:axId val="517956912"/>
        <c:axId val="517950680"/>
      </c:lineChart>
      <c:catAx>
        <c:axId val="517956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0680"/>
        <c:crosses val="autoZero"/>
        <c:auto val="1"/>
        <c:lblAlgn val="ctr"/>
        <c:lblOffset val="100"/>
        <c:noMultiLvlLbl val="0"/>
      </c:catAx>
      <c:valAx>
        <c:axId val="5179506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low"/>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6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lef" panose="00000500000000000000" pitchFamily="2" charset="-79"/>
          <a:cs typeface="Alef" panose="00000500000000000000" pitchFamily="2" charset="-79"/>
        </a:defRPr>
      </a:pPr>
      <a:endParaRPr lang="he-IL"/>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'תרשימים גידולים'!$A$514</c:f>
          <c:strCache>
            <c:ptCount val="1"/>
            <c:pt idx="0">
              <c:v>אבטיחים</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title>
    <c:autoTitleDeleted val="0"/>
    <c:plotArea>
      <c:layout/>
      <c:lineChart>
        <c:grouping val="standard"/>
        <c:varyColors val="0"/>
        <c:ser>
          <c:idx val="0"/>
          <c:order val="0"/>
          <c:tx>
            <c:strRef>
              <c:f>'תרשימים גידולים'!$C$1</c:f>
              <c:strCache>
                <c:ptCount val="1"/>
                <c:pt idx="0">
                  <c:v>מחיר קניה</c:v>
                </c:pt>
              </c:strCache>
            </c:strRef>
          </c:tx>
          <c:spPr>
            <a:ln w="28575" cap="rnd">
              <a:solidFill>
                <a:schemeClr val="accent1"/>
              </a:solidFill>
              <a:round/>
            </a:ln>
            <a:effectLst/>
          </c:spPr>
          <c:marker>
            <c:symbol val="none"/>
          </c:marker>
          <c:cat>
            <c:multiLvlStrRef>
              <c:f>'תרשימים גידולים'!$A$514:$B$538</c:f>
              <c:multiLvlStrCache>
                <c:ptCount val="25"/>
                <c:lvl>
                  <c:pt idx="1">
                    <c:v>1</c:v>
                  </c:pt>
                  <c:pt idx="2">
                    <c:v>2</c:v>
                  </c:pt>
                  <c:pt idx="3">
                    <c:v>3</c:v>
                  </c:pt>
                  <c:pt idx="4">
                    <c:v>4</c:v>
                  </c:pt>
                  <c:pt idx="5">
                    <c:v>5</c:v>
                  </c:pt>
                  <c:pt idx="6">
                    <c:v>6</c:v>
                  </c:pt>
                  <c:pt idx="7">
                    <c:v>7</c:v>
                  </c:pt>
                  <c:pt idx="8">
                    <c:v>8</c:v>
                  </c:pt>
                  <c:pt idx="9">
                    <c:v>9</c:v>
                  </c:pt>
                  <c:pt idx="10">
                    <c:v>10</c:v>
                  </c:pt>
                  <c:pt idx="11">
                    <c:v>11</c:v>
                  </c:pt>
                  <c:pt idx="12">
                    <c:v>12</c:v>
                  </c:pt>
                  <c:pt idx="13">
                    <c:v>1</c:v>
                  </c:pt>
                  <c:pt idx="14">
                    <c:v>2</c:v>
                  </c:pt>
                  <c:pt idx="15">
                    <c:v>3</c:v>
                  </c:pt>
                  <c:pt idx="16">
                    <c:v>4</c:v>
                  </c:pt>
                  <c:pt idx="17">
                    <c:v>5</c:v>
                  </c:pt>
                  <c:pt idx="18">
                    <c:v>6</c:v>
                  </c:pt>
                  <c:pt idx="19">
                    <c:v>7</c:v>
                  </c:pt>
                  <c:pt idx="20">
                    <c:v>8</c:v>
                  </c:pt>
                  <c:pt idx="21">
                    <c:v>9</c:v>
                  </c:pt>
                  <c:pt idx="22">
                    <c:v>10</c:v>
                  </c:pt>
                  <c:pt idx="23">
                    <c:v>11</c:v>
                  </c:pt>
                  <c:pt idx="24">
                    <c:v>12</c:v>
                  </c:pt>
                </c:lvl>
                <c:lvl>
                  <c:pt idx="0">
                    <c:v>אבטיחים</c:v>
                  </c:pt>
                  <c:pt idx="1">
                    <c:v>2017</c:v>
                  </c:pt>
                  <c:pt idx="13">
                    <c:v>2018</c:v>
                  </c:pt>
                </c:lvl>
              </c:multiLvlStrCache>
            </c:multiLvlStrRef>
          </c:cat>
          <c:val>
            <c:numRef>
              <c:f>'תרשימים גידולים'!$C$514:$C$538</c:f>
              <c:numCache>
                <c:formatCode>General</c:formatCode>
                <c:ptCount val="25"/>
                <c:pt idx="0">
                  <c:v>0</c:v>
                </c:pt>
                <c:pt idx="3" formatCode="0.00">
                  <c:v>3.7098631069097721</c:v>
                </c:pt>
                <c:pt idx="4" formatCode="0.00">
                  <c:v>3.9392472661651494</c:v>
                </c:pt>
                <c:pt idx="5" formatCode="0.00">
                  <c:v>1.9925270208141896</c:v>
                </c:pt>
                <c:pt idx="6" formatCode="0.00">
                  <c:v>0.99731337105697748</c:v>
                </c:pt>
                <c:pt idx="7" formatCode="0.00">
                  <c:v>0.89069086635916828</c:v>
                </c:pt>
                <c:pt idx="8" formatCode="0.00">
                  <c:v>1.0455613431816311</c:v>
                </c:pt>
                <c:pt idx="9" formatCode="0.00">
                  <c:v>2.5873874198165123</c:v>
                </c:pt>
                <c:pt idx="10" formatCode="0.00">
                  <c:v>4.1792404675616357</c:v>
                </c:pt>
                <c:pt idx="15" formatCode="0.00">
                  <c:v>4.2763651128469817</c:v>
                </c:pt>
                <c:pt idx="16" formatCode="0.00">
                  <c:v>3.770364603439968</c:v>
                </c:pt>
                <c:pt idx="17" formatCode="0.00">
                  <c:v>2.4778025582936243</c:v>
                </c:pt>
                <c:pt idx="18" formatCode="0.00">
                  <c:v>2.7136189261903292</c:v>
                </c:pt>
                <c:pt idx="19" formatCode="0.00">
                  <c:v>3.0788258945014935</c:v>
                </c:pt>
                <c:pt idx="20" formatCode="0.00">
                  <c:v>3.1320585230379603</c:v>
                </c:pt>
                <c:pt idx="21" formatCode="0.00">
                  <c:v>3.8386239044086268</c:v>
                </c:pt>
                <c:pt idx="22" formatCode="0.00">
                  <c:v>4.4298938812372999</c:v>
                </c:pt>
              </c:numCache>
            </c:numRef>
          </c:val>
          <c:smooth val="0"/>
          <c:extLst>
            <c:ext xmlns:c16="http://schemas.microsoft.com/office/drawing/2014/chart" uri="{C3380CC4-5D6E-409C-BE32-E72D297353CC}">
              <c16:uniqueId val="{00000000-4479-40D7-A941-D0F9408AA00E}"/>
            </c:ext>
          </c:extLst>
        </c:ser>
        <c:ser>
          <c:idx val="1"/>
          <c:order val="1"/>
          <c:tx>
            <c:strRef>
              <c:f>'תרשימים גידולים'!$D$1</c:f>
              <c:strCache>
                <c:ptCount val="1"/>
                <c:pt idx="0">
                  <c:v>מחיר מכירה</c:v>
                </c:pt>
              </c:strCache>
            </c:strRef>
          </c:tx>
          <c:spPr>
            <a:ln w="28575" cap="rnd">
              <a:solidFill>
                <a:schemeClr val="accent2"/>
              </a:solidFill>
              <a:round/>
            </a:ln>
            <a:effectLst/>
          </c:spPr>
          <c:marker>
            <c:symbol val="none"/>
          </c:marker>
          <c:cat>
            <c:multiLvlStrRef>
              <c:f>'תרשימים גידולים'!$A$514:$B$538</c:f>
              <c:multiLvlStrCache>
                <c:ptCount val="25"/>
                <c:lvl>
                  <c:pt idx="1">
                    <c:v>1</c:v>
                  </c:pt>
                  <c:pt idx="2">
                    <c:v>2</c:v>
                  </c:pt>
                  <c:pt idx="3">
                    <c:v>3</c:v>
                  </c:pt>
                  <c:pt idx="4">
                    <c:v>4</c:v>
                  </c:pt>
                  <c:pt idx="5">
                    <c:v>5</c:v>
                  </c:pt>
                  <c:pt idx="6">
                    <c:v>6</c:v>
                  </c:pt>
                  <c:pt idx="7">
                    <c:v>7</c:v>
                  </c:pt>
                  <c:pt idx="8">
                    <c:v>8</c:v>
                  </c:pt>
                  <c:pt idx="9">
                    <c:v>9</c:v>
                  </c:pt>
                  <c:pt idx="10">
                    <c:v>10</c:v>
                  </c:pt>
                  <c:pt idx="11">
                    <c:v>11</c:v>
                  </c:pt>
                  <c:pt idx="12">
                    <c:v>12</c:v>
                  </c:pt>
                  <c:pt idx="13">
                    <c:v>1</c:v>
                  </c:pt>
                  <c:pt idx="14">
                    <c:v>2</c:v>
                  </c:pt>
                  <c:pt idx="15">
                    <c:v>3</c:v>
                  </c:pt>
                  <c:pt idx="16">
                    <c:v>4</c:v>
                  </c:pt>
                  <c:pt idx="17">
                    <c:v>5</c:v>
                  </c:pt>
                  <c:pt idx="18">
                    <c:v>6</c:v>
                  </c:pt>
                  <c:pt idx="19">
                    <c:v>7</c:v>
                  </c:pt>
                  <c:pt idx="20">
                    <c:v>8</c:v>
                  </c:pt>
                  <c:pt idx="21">
                    <c:v>9</c:v>
                  </c:pt>
                  <c:pt idx="22">
                    <c:v>10</c:v>
                  </c:pt>
                  <c:pt idx="23">
                    <c:v>11</c:v>
                  </c:pt>
                  <c:pt idx="24">
                    <c:v>12</c:v>
                  </c:pt>
                </c:lvl>
                <c:lvl>
                  <c:pt idx="0">
                    <c:v>אבטיחים</c:v>
                  </c:pt>
                  <c:pt idx="1">
                    <c:v>2017</c:v>
                  </c:pt>
                  <c:pt idx="13">
                    <c:v>2018</c:v>
                  </c:pt>
                </c:lvl>
              </c:multiLvlStrCache>
            </c:multiLvlStrRef>
          </c:cat>
          <c:val>
            <c:numRef>
              <c:f>'תרשימים גידולים'!$D$514:$D$538</c:f>
              <c:numCache>
                <c:formatCode>General</c:formatCode>
                <c:ptCount val="25"/>
                <c:pt idx="0">
                  <c:v>0</c:v>
                </c:pt>
                <c:pt idx="3" formatCode="0.00">
                  <c:v>6.1758600533211672</c:v>
                </c:pt>
                <c:pt idx="4" formatCode="0.00">
                  <c:v>5.7409154385811396</c:v>
                </c:pt>
                <c:pt idx="5" formatCode="0.00">
                  <c:v>3.8428143869423259</c:v>
                </c:pt>
                <c:pt idx="6" formatCode="0.00">
                  <c:v>2.058560268692204</c:v>
                </c:pt>
                <c:pt idx="7" formatCode="0.00">
                  <c:v>1.6845753549477362</c:v>
                </c:pt>
                <c:pt idx="8" formatCode="0.00">
                  <c:v>1.9453085972278708</c:v>
                </c:pt>
                <c:pt idx="9" formatCode="0.00">
                  <c:v>3.4119795857309256</c:v>
                </c:pt>
                <c:pt idx="10" formatCode="0.00">
                  <c:v>6.3419925241939614</c:v>
                </c:pt>
                <c:pt idx="15" formatCode="0.00">
                  <c:v>6.0520040542344899</c:v>
                </c:pt>
                <c:pt idx="16" formatCode="0.00">
                  <c:v>5.5063545798005125</c:v>
                </c:pt>
                <c:pt idx="17" formatCode="0.00">
                  <c:v>3.8418943004878101</c:v>
                </c:pt>
                <c:pt idx="18" formatCode="0.00">
                  <c:v>4.1929867119619741</c:v>
                </c:pt>
                <c:pt idx="19" formatCode="0.00">
                  <c:v>4.9475415107046299</c:v>
                </c:pt>
                <c:pt idx="20" formatCode="0.00">
                  <c:v>5.1750299791025913</c:v>
                </c:pt>
                <c:pt idx="21" formatCode="0.00">
                  <c:v>5.2262264761115871</c:v>
                </c:pt>
                <c:pt idx="22" formatCode="0.00">
                  <c:v>5.4987872487872487</c:v>
                </c:pt>
              </c:numCache>
            </c:numRef>
          </c:val>
          <c:smooth val="0"/>
          <c:extLst>
            <c:ext xmlns:c16="http://schemas.microsoft.com/office/drawing/2014/chart" uri="{C3380CC4-5D6E-409C-BE32-E72D297353CC}">
              <c16:uniqueId val="{00000001-4479-40D7-A941-D0F9408AA00E}"/>
            </c:ext>
          </c:extLst>
        </c:ser>
        <c:dLbls>
          <c:showLegendKey val="0"/>
          <c:showVal val="0"/>
          <c:showCatName val="0"/>
          <c:showSerName val="0"/>
          <c:showPercent val="0"/>
          <c:showBubbleSize val="0"/>
        </c:dLbls>
        <c:smooth val="0"/>
        <c:axId val="517956912"/>
        <c:axId val="517950680"/>
      </c:lineChart>
      <c:catAx>
        <c:axId val="517956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0680"/>
        <c:crosses val="autoZero"/>
        <c:auto val="1"/>
        <c:lblAlgn val="ctr"/>
        <c:lblOffset val="100"/>
        <c:noMultiLvlLbl val="0"/>
      </c:catAx>
      <c:valAx>
        <c:axId val="5179506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low"/>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6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lef" panose="00000500000000000000" pitchFamily="2" charset="-79"/>
          <a:cs typeface="Alef" panose="00000500000000000000" pitchFamily="2" charset="-79"/>
        </a:defRPr>
      </a:pPr>
      <a:endParaRPr lang="he-I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lef" panose="00000500000000000000" pitchFamily="2" charset="-79"/>
                <a:ea typeface="+mn-ea"/>
                <a:cs typeface="Alef" panose="00000500000000000000" pitchFamily="2" charset="-79"/>
              </a:defRPr>
            </a:pPr>
            <a:r>
              <a:rPr lang="he-IL"/>
              <a:t>אבוקדו</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title>
    <c:autoTitleDeleted val="0"/>
    <c:plotArea>
      <c:layout/>
      <c:lineChart>
        <c:grouping val="standard"/>
        <c:varyColors val="0"/>
        <c:ser>
          <c:idx val="0"/>
          <c:order val="0"/>
          <c:tx>
            <c:strRef>
              <c:f>'תרשימים גידולים'!$C$1</c:f>
              <c:strCache>
                <c:ptCount val="1"/>
                <c:pt idx="0">
                  <c:v>מחיר קניה</c:v>
                </c:pt>
              </c:strCache>
            </c:strRef>
          </c:tx>
          <c:spPr>
            <a:ln w="28575" cap="rnd">
              <a:solidFill>
                <a:schemeClr val="accent1"/>
              </a:solidFill>
              <a:round/>
            </a:ln>
            <a:effectLst/>
          </c:spPr>
          <c:marker>
            <c:symbol val="none"/>
          </c:marker>
          <c:cat>
            <c:multiLvlStrRef>
              <c:f>'תרשימים גידולים'!$A$29:$B$52</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גידולים'!$C$29:$C$52</c:f>
              <c:numCache>
                <c:formatCode>0.00</c:formatCode>
                <c:ptCount val="24"/>
                <c:pt idx="0">
                  <c:v>4.8998730126827441</c:v>
                </c:pt>
                <c:pt idx="1">
                  <c:v>5.0944552420199418</c:v>
                </c:pt>
                <c:pt idx="2">
                  <c:v>5.8187740486885708</c:v>
                </c:pt>
                <c:pt idx="3">
                  <c:v>7.3421340455659667</c:v>
                </c:pt>
                <c:pt idx="4">
                  <c:v>9.839134593266099</c:v>
                </c:pt>
                <c:pt idx="5">
                  <c:v>11.642502605371007</c:v>
                </c:pt>
                <c:pt idx="6">
                  <c:v>13.537849857161088</c:v>
                </c:pt>
                <c:pt idx="7">
                  <c:v>8.9828805872666901</c:v>
                </c:pt>
                <c:pt idx="8">
                  <c:v>8.4775022931772526</c:v>
                </c:pt>
                <c:pt idx="9">
                  <c:v>6.762871263163917</c:v>
                </c:pt>
                <c:pt idx="10">
                  <c:v>5.8777175356666378</c:v>
                </c:pt>
                <c:pt idx="11">
                  <c:v>7.5067962127713317</c:v>
                </c:pt>
                <c:pt idx="12">
                  <c:v>9.6801599892557064</c:v>
                </c:pt>
                <c:pt idx="13">
                  <c:v>9.5292246145602455</c:v>
                </c:pt>
                <c:pt idx="14">
                  <c:v>9.750735000646463</c:v>
                </c:pt>
                <c:pt idx="15">
                  <c:v>9.9978418780065681</c:v>
                </c:pt>
                <c:pt idx="16">
                  <c:v>9.4750542613016062</c:v>
                </c:pt>
                <c:pt idx="17">
                  <c:v>11.265383644688928</c:v>
                </c:pt>
                <c:pt idx="18">
                  <c:v>15.520426579163249</c:v>
                </c:pt>
                <c:pt idx="19">
                  <c:v>8.3338353804445315</c:v>
                </c:pt>
                <c:pt idx="20">
                  <c:v>6.6380834829443449</c:v>
                </c:pt>
                <c:pt idx="21">
                  <c:v>4.6628303873547718</c:v>
                </c:pt>
                <c:pt idx="22">
                  <c:v>4.1248048997521645</c:v>
                </c:pt>
                <c:pt idx="23">
                  <c:v>4.8416903793764092</c:v>
                </c:pt>
              </c:numCache>
            </c:numRef>
          </c:val>
          <c:smooth val="0"/>
          <c:extLst>
            <c:ext xmlns:c16="http://schemas.microsoft.com/office/drawing/2014/chart" uri="{C3380CC4-5D6E-409C-BE32-E72D297353CC}">
              <c16:uniqueId val="{00000000-9323-4B1D-B0B7-E4F9065815AB}"/>
            </c:ext>
          </c:extLst>
        </c:ser>
        <c:ser>
          <c:idx val="1"/>
          <c:order val="1"/>
          <c:tx>
            <c:strRef>
              <c:f>'תרשימים גידולים'!$D$1</c:f>
              <c:strCache>
                <c:ptCount val="1"/>
                <c:pt idx="0">
                  <c:v>מחיר מכירה</c:v>
                </c:pt>
              </c:strCache>
            </c:strRef>
          </c:tx>
          <c:spPr>
            <a:ln w="28575" cap="rnd">
              <a:solidFill>
                <a:schemeClr val="accent2"/>
              </a:solidFill>
              <a:round/>
            </a:ln>
            <a:effectLst/>
          </c:spPr>
          <c:marker>
            <c:symbol val="none"/>
          </c:marker>
          <c:cat>
            <c:multiLvlStrRef>
              <c:f>'תרשימים גידולים'!$A$29:$B$52</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גידולים'!$D$29:$D$52</c:f>
              <c:numCache>
                <c:formatCode>0.00</c:formatCode>
                <c:ptCount val="24"/>
                <c:pt idx="0">
                  <c:v>7.8563687509368911</c:v>
                </c:pt>
                <c:pt idx="1">
                  <c:v>8.6834454924305167</c:v>
                </c:pt>
                <c:pt idx="2">
                  <c:v>9.50604173678453</c:v>
                </c:pt>
                <c:pt idx="3">
                  <c:v>11.64565167896327</c:v>
                </c:pt>
                <c:pt idx="4">
                  <c:v>14.827065995599803</c:v>
                </c:pt>
                <c:pt idx="5">
                  <c:v>17.562424925514886</c:v>
                </c:pt>
                <c:pt idx="6">
                  <c:v>20.500779342469208</c:v>
                </c:pt>
                <c:pt idx="7">
                  <c:v>17.433255536670135</c:v>
                </c:pt>
                <c:pt idx="8">
                  <c:v>15.402537143824667</c:v>
                </c:pt>
                <c:pt idx="9">
                  <c:v>11.847038226711478</c:v>
                </c:pt>
                <c:pt idx="10">
                  <c:v>9.0369226542130079</c:v>
                </c:pt>
                <c:pt idx="11">
                  <c:v>11.485865860636366</c:v>
                </c:pt>
                <c:pt idx="12">
                  <c:v>14.018671942245861</c:v>
                </c:pt>
                <c:pt idx="13">
                  <c:v>13.750291200606366</c:v>
                </c:pt>
                <c:pt idx="14">
                  <c:v>14.15176278719418</c:v>
                </c:pt>
                <c:pt idx="15">
                  <c:v>15.349591061016538</c:v>
                </c:pt>
                <c:pt idx="16">
                  <c:v>15.450326140920549</c:v>
                </c:pt>
                <c:pt idx="17">
                  <c:v>16.94175306600436</c:v>
                </c:pt>
                <c:pt idx="18">
                  <c:v>21.705538620184349</c:v>
                </c:pt>
                <c:pt idx="19">
                  <c:v>14.875283660018294</c:v>
                </c:pt>
                <c:pt idx="20">
                  <c:v>12.577203806646638</c:v>
                </c:pt>
                <c:pt idx="21">
                  <c:v>8.4029789590371955</c:v>
                </c:pt>
                <c:pt idx="22">
                  <c:v>7.5048236147894025</c:v>
                </c:pt>
                <c:pt idx="23">
                  <c:v>8.8394409238060003</c:v>
                </c:pt>
              </c:numCache>
            </c:numRef>
          </c:val>
          <c:smooth val="0"/>
          <c:extLst>
            <c:ext xmlns:c16="http://schemas.microsoft.com/office/drawing/2014/chart" uri="{C3380CC4-5D6E-409C-BE32-E72D297353CC}">
              <c16:uniqueId val="{00000001-9323-4B1D-B0B7-E4F9065815AB}"/>
            </c:ext>
          </c:extLst>
        </c:ser>
        <c:dLbls>
          <c:showLegendKey val="0"/>
          <c:showVal val="0"/>
          <c:showCatName val="0"/>
          <c:showSerName val="0"/>
          <c:showPercent val="0"/>
          <c:showBubbleSize val="0"/>
        </c:dLbls>
        <c:smooth val="0"/>
        <c:axId val="517956912"/>
        <c:axId val="517950680"/>
      </c:lineChart>
      <c:catAx>
        <c:axId val="517956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0680"/>
        <c:crosses val="autoZero"/>
        <c:auto val="1"/>
        <c:lblAlgn val="ctr"/>
        <c:lblOffset val="100"/>
        <c:noMultiLvlLbl val="0"/>
      </c:catAx>
      <c:valAx>
        <c:axId val="5179506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low"/>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6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lef" panose="00000500000000000000" pitchFamily="2" charset="-79"/>
          <a:cs typeface="Alef" panose="00000500000000000000" pitchFamily="2" charset="-79"/>
        </a:defRPr>
      </a:pPr>
      <a:endParaRPr lang="he-IL"/>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lef" panose="00000500000000000000" pitchFamily="2" charset="-79"/>
                <a:ea typeface="+mn-ea"/>
                <a:cs typeface="Alef" panose="00000500000000000000" pitchFamily="2" charset="-79"/>
              </a:defRPr>
            </a:pPr>
            <a:r>
              <a:rPr lang="he-IL"/>
              <a:t>בננות</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title>
    <c:autoTitleDeleted val="0"/>
    <c:plotArea>
      <c:layout/>
      <c:lineChart>
        <c:grouping val="standard"/>
        <c:varyColors val="0"/>
        <c:ser>
          <c:idx val="0"/>
          <c:order val="0"/>
          <c:tx>
            <c:strRef>
              <c:f>'תרשימים גידולים'!$C$1</c:f>
              <c:strCache>
                <c:ptCount val="1"/>
                <c:pt idx="0">
                  <c:v>מחיר קניה</c:v>
                </c:pt>
              </c:strCache>
            </c:strRef>
          </c:tx>
          <c:spPr>
            <a:ln w="28575" cap="rnd">
              <a:solidFill>
                <a:schemeClr val="accent1"/>
              </a:solidFill>
              <a:round/>
            </a:ln>
            <a:effectLst/>
          </c:spPr>
          <c:marker>
            <c:symbol val="none"/>
          </c:marker>
          <c:cat>
            <c:multiLvlStrRef>
              <c:f>'תרשימים גידולים'!$A$56:$B$79</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גידולים'!$C$56:$C$79</c:f>
              <c:numCache>
                <c:formatCode>0.00</c:formatCode>
                <c:ptCount val="24"/>
                <c:pt idx="0">
                  <c:v>3.3455045521921178</c:v>
                </c:pt>
                <c:pt idx="1">
                  <c:v>4.8236425905651856</c:v>
                </c:pt>
                <c:pt idx="2">
                  <c:v>5.11658241431949</c:v>
                </c:pt>
                <c:pt idx="3">
                  <c:v>7.0426579715150064</c:v>
                </c:pt>
                <c:pt idx="4">
                  <c:v>6.7300168120142327</c:v>
                </c:pt>
                <c:pt idx="5">
                  <c:v>5.8560842741914243</c:v>
                </c:pt>
                <c:pt idx="6">
                  <c:v>7.6171994232865634</c:v>
                </c:pt>
                <c:pt idx="7">
                  <c:v>5.6177861190947755</c:v>
                </c:pt>
                <c:pt idx="8">
                  <c:v>5.1331945304147206</c:v>
                </c:pt>
                <c:pt idx="9">
                  <c:v>4.4081581387805473</c:v>
                </c:pt>
                <c:pt idx="10">
                  <c:v>3.0748086089071003</c:v>
                </c:pt>
                <c:pt idx="11">
                  <c:v>3.2879600057177361</c:v>
                </c:pt>
                <c:pt idx="12">
                  <c:v>4.1599438838884009</c:v>
                </c:pt>
                <c:pt idx="13">
                  <c:v>4.9237619710633327</c:v>
                </c:pt>
                <c:pt idx="14">
                  <c:v>4.3795538695858625</c:v>
                </c:pt>
                <c:pt idx="15">
                  <c:v>4.3640845799472023</c:v>
                </c:pt>
                <c:pt idx="16">
                  <c:v>3.3846185183891881</c:v>
                </c:pt>
                <c:pt idx="17">
                  <c:v>2.8931444906785799</c:v>
                </c:pt>
                <c:pt idx="18">
                  <c:v>4.2921476940281869</c:v>
                </c:pt>
                <c:pt idx="19">
                  <c:v>4.3485052343867663</c:v>
                </c:pt>
                <c:pt idx="20">
                  <c:v>4.2954359394187476</c:v>
                </c:pt>
                <c:pt idx="21">
                  <c:v>3.2029010292047899</c:v>
                </c:pt>
                <c:pt idx="22">
                  <c:v>2.5145859095428995</c:v>
                </c:pt>
                <c:pt idx="23">
                  <c:v>2.7098331077805353</c:v>
                </c:pt>
              </c:numCache>
            </c:numRef>
          </c:val>
          <c:smooth val="0"/>
          <c:extLst>
            <c:ext xmlns:c16="http://schemas.microsoft.com/office/drawing/2014/chart" uri="{C3380CC4-5D6E-409C-BE32-E72D297353CC}">
              <c16:uniqueId val="{00000000-3813-49AF-A0B3-FE28D5B3E524}"/>
            </c:ext>
          </c:extLst>
        </c:ser>
        <c:ser>
          <c:idx val="1"/>
          <c:order val="1"/>
          <c:tx>
            <c:strRef>
              <c:f>'תרשימים גידולים'!$D$1</c:f>
              <c:strCache>
                <c:ptCount val="1"/>
                <c:pt idx="0">
                  <c:v>מחיר מכירה</c:v>
                </c:pt>
              </c:strCache>
            </c:strRef>
          </c:tx>
          <c:spPr>
            <a:ln w="28575" cap="rnd">
              <a:solidFill>
                <a:schemeClr val="accent2"/>
              </a:solidFill>
              <a:round/>
            </a:ln>
            <a:effectLst/>
          </c:spPr>
          <c:marker>
            <c:symbol val="none"/>
          </c:marker>
          <c:cat>
            <c:multiLvlStrRef>
              <c:f>'תרשימים גידולים'!$A$56:$B$79</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גידולים'!$D$56:$D$79</c:f>
              <c:numCache>
                <c:formatCode>0.00</c:formatCode>
                <c:ptCount val="24"/>
                <c:pt idx="0">
                  <c:v>5.9005301839255582</c:v>
                </c:pt>
                <c:pt idx="1">
                  <c:v>8.2118984977988365</c:v>
                </c:pt>
                <c:pt idx="2">
                  <c:v>8.8450243826563142</c:v>
                </c:pt>
                <c:pt idx="3">
                  <c:v>10.762514191092071</c:v>
                </c:pt>
                <c:pt idx="4">
                  <c:v>12.088695076560386</c:v>
                </c:pt>
                <c:pt idx="5">
                  <c:v>10.968350337500201</c:v>
                </c:pt>
                <c:pt idx="6">
                  <c:v>13.160974784676993</c:v>
                </c:pt>
                <c:pt idx="7">
                  <c:v>11.407264981134473</c:v>
                </c:pt>
                <c:pt idx="8">
                  <c:v>10.484070634279361</c:v>
                </c:pt>
                <c:pt idx="9">
                  <c:v>8.3860807230007808</c:v>
                </c:pt>
                <c:pt idx="10">
                  <c:v>6.3142247124986932</c:v>
                </c:pt>
                <c:pt idx="11">
                  <c:v>6.1783431636322534</c:v>
                </c:pt>
                <c:pt idx="12">
                  <c:v>6.7738852852066307</c:v>
                </c:pt>
                <c:pt idx="13">
                  <c:v>8.4823620835227516</c:v>
                </c:pt>
                <c:pt idx="14">
                  <c:v>7.7228965920492456</c:v>
                </c:pt>
                <c:pt idx="15">
                  <c:v>7.3682063219647684</c:v>
                </c:pt>
                <c:pt idx="16">
                  <c:v>7.0435296166766568</c:v>
                </c:pt>
                <c:pt idx="17">
                  <c:v>5.961625234486192</c:v>
                </c:pt>
                <c:pt idx="18">
                  <c:v>7.6922333878413021</c:v>
                </c:pt>
                <c:pt idx="19">
                  <c:v>7.2831515187513585</c:v>
                </c:pt>
                <c:pt idx="20">
                  <c:v>7.5487299250660467</c:v>
                </c:pt>
                <c:pt idx="21">
                  <c:v>6.1801443572380874</c:v>
                </c:pt>
                <c:pt idx="22">
                  <c:v>5.5182232382120446</c:v>
                </c:pt>
                <c:pt idx="23">
                  <c:v>5.720799850600355</c:v>
                </c:pt>
              </c:numCache>
            </c:numRef>
          </c:val>
          <c:smooth val="0"/>
          <c:extLst>
            <c:ext xmlns:c16="http://schemas.microsoft.com/office/drawing/2014/chart" uri="{C3380CC4-5D6E-409C-BE32-E72D297353CC}">
              <c16:uniqueId val="{00000001-3813-49AF-A0B3-FE28D5B3E524}"/>
            </c:ext>
          </c:extLst>
        </c:ser>
        <c:dLbls>
          <c:showLegendKey val="0"/>
          <c:showVal val="0"/>
          <c:showCatName val="0"/>
          <c:showSerName val="0"/>
          <c:showPercent val="0"/>
          <c:showBubbleSize val="0"/>
        </c:dLbls>
        <c:smooth val="0"/>
        <c:axId val="517956912"/>
        <c:axId val="517950680"/>
      </c:lineChart>
      <c:catAx>
        <c:axId val="517956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0680"/>
        <c:crosses val="autoZero"/>
        <c:auto val="1"/>
        <c:lblAlgn val="ctr"/>
        <c:lblOffset val="100"/>
        <c:noMultiLvlLbl val="0"/>
      </c:catAx>
      <c:valAx>
        <c:axId val="5179506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low"/>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6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lef" panose="00000500000000000000" pitchFamily="2" charset="-79"/>
          <a:cs typeface="Alef" panose="00000500000000000000" pitchFamily="2" charset="-79"/>
        </a:defRPr>
      </a:pPr>
      <a:endParaRPr lang="he-IL"/>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'תרשימים גידולים'!$A$82</c:f>
          <c:strCache>
            <c:ptCount val="1"/>
            <c:pt idx="0">
              <c:v>גזר</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title>
    <c:autoTitleDeleted val="0"/>
    <c:plotArea>
      <c:layout/>
      <c:lineChart>
        <c:grouping val="standard"/>
        <c:varyColors val="0"/>
        <c:ser>
          <c:idx val="0"/>
          <c:order val="0"/>
          <c:tx>
            <c:strRef>
              <c:f>'תרשימים גידולים'!$C$1</c:f>
              <c:strCache>
                <c:ptCount val="1"/>
                <c:pt idx="0">
                  <c:v>מחיר קניה</c:v>
                </c:pt>
              </c:strCache>
            </c:strRef>
          </c:tx>
          <c:spPr>
            <a:ln w="28575" cap="rnd">
              <a:solidFill>
                <a:schemeClr val="accent1"/>
              </a:solidFill>
              <a:round/>
            </a:ln>
            <a:effectLst/>
          </c:spPr>
          <c:marker>
            <c:symbol val="none"/>
          </c:marker>
          <c:cat>
            <c:multiLvlStrRef>
              <c:f>'תרשימים גידולים'!$A$83:$B$106</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גידולים'!$C$83:$C$106</c:f>
              <c:numCache>
                <c:formatCode>0.00</c:formatCode>
                <c:ptCount val="24"/>
                <c:pt idx="0">
                  <c:v>1.6498512348361229</c:v>
                </c:pt>
                <c:pt idx="1">
                  <c:v>1.6579854123497968</c:v>
                </c:pt>
                <c:pt idx="2">
                  <c:v>1.6367413370720578</c:v>
                </c:pt>
                <c:pt idx="3">
                  <c:v>1.6098499507370876</c:v>
                </c:pt>
                <c:pt idx="4">
                  <c:v>1.5798624190722044</c:v>
                </c:pt>
                <c:pt idx="5">
                  <c:v>1.5771377808397178</c:v>
                </c:pt>
                <c:pt idx="6">
                  <c:v>1.5884008543504251</c:v>
                </c:pt>
                <c:pt idx="7">
                  <c:v>1.7414335750855803</c:v>
                </c:pt>
                <c:pt idx="8">
                  <c:v>1.7454898827645604</c:v>
                </c:pt>
                <c:pt idx="9">
                  <c:v>1.8557631417463503</c:v>
                </c:pt>
                <c:pt idx="10">
                  <c:v>1.8227476505881812</c:v>
                </c:pt>
                <c:pt idx="11">
                  <c:v>1.815443617363212</c:v>
                </c:pt>
                <c:pt idx="12">
                  <c:v>1.7272672099424586</c:v>
                </c:pt>
                <c:pt idx="13">
                  <c:v>1.7090462617808455</c:v>
                </c:pt>
                <c:pt idx="14">
                  <c:v>1.6804412377214866</c:v>
                </c:pt>
                <c:pt idx="15">
                  <c:v>1.7171054323546942</c:v>
                </c:pt>
                <c:pt idx="16">
                  <c:v>1.746906014107241</c:v>
                </c:pt>
                <c:pt idx="17">
                  <c:v>1.7788638161026669</c:v>
                </c:pt>
                <c:pt idx="18">
                  <c:v>1.9528521872242499</c:v>
                </c:pt>
                <c:pt idx="19">
                  <c:v>2.0735394423642526</c:v>
                </c:pt>
                <c:pt idx="20">
                  <c:v>2.1823272758784582</c:v>
                </c:pt>
                <c:pt idx="21">
                  <c:v>2.3152531948813881</c:v>
                </c:pt>
                <c:pt idx="22">
                  <c:v>2.1542393059012075</c:v>
                </c:pt>
                <c:pt idx="23">
                  <c:v>2.0804959876738405</c:v>
                </c:pt>
              </c:numCache>
            </c:numRef>
          </c:val>
          <c:smooth val="0"/>
          <c:extLst>
            <c:ext xmlns:c16="http://schemas.microsoft.com/office/drawing/2014/chart" uri="{C3380CC4-5D6E-409C-BE32-E72D297353CC}">
              <c16:uniqueId val="{00000000-BEE3-44A1-B754-9C27F7ECD74C}"/>
            </c:ext>
          </c:extLst>
        </c:ser>
        <c:ser>
          <c:idx val="1"/>
          <c:order val="1"/>
          <c:tx>
            <c:strRef>
              <c:f>'תרשימים גידולים'!$D$1</c:f>
              <c:strCache>
                <c:ptCount val="1"/>
                <c:pt idx="0">
                  <c:v>מחיר מכירה</c:v>
                </c:pt>
              </c:strCache>
            </c:strRef>
          </c:tx>
          <c:spPr>
            <a:ln w="28575" cap="rnd">
              <a:solidFill>
                <a:schemeClr val="accent2"/>
              </a:solidFill>
              <a:round/>
            </a:ln>
            <a:effectLst/>
          </c:spPr>
          <c:marker>
            <c:symbol val="none"/>
          </c:marker>
          <c:cat>
            <c:multiLvlStrRef>
              <c:f>'תרשימים גידולים'!$A$83:$B$106</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גידולים'!$D$83:$D$106</c:f>
              <c:numCache>
                <c:formatCode>0.00</c:formatCode>
                <c:ptCount val="24"/>
                <c:pt idx="0">
                  <c:v>3.0891220523781939</c:v>
                </c:pt>
                <c:pt idx="1">
                  <c:v>3.3113377476623156</c:v>
                </c:pt>
                <c:pt idx="2">
                  <c:v>3.3232382889252259</c:v>
                </c:pt>
                <c:pt idx="3">
                  <c:v>3.4621302148750024</c:v>
                </c:pt>
                <c:pt idx="4">
                  <c:v>3.2322215452763419</c:v>
                </c:pt>
                <c:pt idx="5">
                  <c:v>3.1480149556592019</c:v>
                </c:pt>
                <c:pt idx="6">
                  <c:v>2.9236925006809877</c:v>
                </c:pt>
                <c:pt idx="7">
                  <c:v>3.1551937687918277</c:v>
                </c:pt>
                <c:pt idx="8">
                  <c:v>3.1636436465708466</c:v>
                </c:pt>
                <c:pt idx="9">
                  <c:v>3.3126847716302872</c:v>
                </c:pt>
                <c:pt idx="10">
                  <c:v>3.2830198358140179</c:v>
                </c:pt>
                <c:pt idx="11">
                  <c:v>3.2915391753337211</c:v>
                </c:pt>
                <c:pt idx="12">
                  <c:v>3.2448912524796638</c:v>
                </c:pt>
                <c:pt idx="13">
                  <c:v>3.128681257474911</c:v>
                </c:pt>
                <c:pt idx="14">
                  <c:v>3.1316260692453062</c:v>
                </c:pt>
                <c:pt idx="15">
                  <c:v>3.1801580354380583</c:v>
                </c:pt>
                <c:pt idx="16">
                  <c:v>3.1835738329035808</c:v>
                </c:pt>
                <c:pt idx="17">
                  <c:v>3.3767960528686496</c:v>
                </c:pt>
                <c:pt idx="18">
                  <c:v>3.6391807950580097</c:v>
                </c:pt>
                <c:pt idx="19">
                  <c:v>3.6587414283066217</c:v>
                </c:pt>
                <c:pt idx="20">
                  <c:v>4.097464811944846</c:v>
                </c:pt>
                <c:pt idx="21">
                  <c:v>4.233101764430482</c:v>
                </c:pt>
                <c:pt idx="22">
                  <c:v>4.1326772930119704</c:v>
                </c:pt>
                <c:pt idx="23">
                  <c:v>3.9982930746110932</c:v>
                </c:pt>
              </c:numCache>
            </c:numRef>
          </c:val>
          <c:smooth val="0"/>
          <c:extLst>
            <c:ext xmlns:c16="http://schemas.microsoft.com/office/drawing/2014/chart" uri="{C3380CC4-5D6E-409C-BE32-E72D297353CC}">
              <c16:uniqueId val="{00000001-BEE3-44A1-B754-9C27F7ECD74C}"/>
            </c:ext>
          </c:extLst>
        </c:ser>
        <c:dLbls>
          <c:showLegendKey val="0"/>
          <c:showVal val="0"/>
          <c:showCatName val="0"/>
          <c:showSerName val="0"/>
          <c:showPercent val="0"/>
          <c:showBubbleSize val="0"/>
        </c:dLbls>
        <c:smooth val="0"/>
        <c:axId val="517956912"/>
        <c:axId val="517950680"/>
      </c:lineChart>
      <c:catAx>
        <c:axId val="517956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0680"/>
        <c:crosses val="autoZero"/>
        <c:auto val="1"/>
        <c:lblAlgn val="ctr"/>
        <c:lblOffset val="100"/>
        <c:noMultiLvlLbl val="0"/>
      </c:catAx>
      <c:valAx>
        <c:axId val="5179506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low"/>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6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lef" panose="00000500000000000000" pitchFamily="2" charset="-79"/>
          <a:cs typeface="Alef" panose="00000500000000000000" pitchFamily="2" charset="-79"/>
        </a:defRPr>
      </a:pPr>
      <a:endParaRPr lang="he-IL"/>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'תרשימים גידולים'!$A$109</c:f>
          <c:strCache>
            <c:ptCount val="1"/>
            <c:pt idx="0">
              <c:v>קלמנטינה</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title>
    <c:autoTitleDeleted val="0"/>
    <c:plotArea>
      <c:layout/>
      <c:lineChart>
        <c:grouping val="standard"/>
        <c:varyColors val="0"/>
        <c:ser>
          <c:idx val="0"/>
          <c:order val="0"/>
          <c:tx>
            <c:strRef>
              <c:f>'תרשימים גידולים'!$C$1</c:f>
              <c:strCache>
                <c:ptCount val="1"/>
                <c:pt idx="0">
                  <c:v>מחיר קניה</c:v>
                </c:pt>
              </c:strCache>
            </c:strRef>
          </c:tx>
          <c:spPr>
            <a:ln w="28575" cap="rnd">
              <a:solidFill>
                <a:schemeClr val="accent1"/>
              </a:solidFill>
              <a:round/>
            </a:ln>
            <a:effectLst/>
          </c:spPr>
          <c:marker>
            <c:symbol val="none"/>
          </c:marker>
          <c:cat>
            <c:multiLvlStrRef>
              <c:f>'תרשימים גידולים'!$A$110:$B$133</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גידולים'!$C$110:$C$133</c:f>
              <c:numCache>
                <c:formatCode>0.00</c:formatCode>
                <c:ptCount val="24"/>
                <c:pt idx="0">
                  <c:v>2.5578092350352737</c:v>
                </c:pt>
                <c:pt idx="1">
                  <c:v>2.4244086281344357</c:v>
                </c:pt>
                <c:pt idx="2">
                  <c:v>2.8183955986886948</c:v>
                </c:pt>
                <c:pt idx="3">
                  <c:v>2.8807380104222844</c:v>
                </c:pt>
                <c:pt idx="7">
                  <c:v>3.603156203607671</c:v>
                </c:pt>
                <c:pt idx="8">
                  <c:v>3.3209944154206448</c:v>
                </c:pt>
                <c:pt idx="9">
                  <c:v>3.3094797939194267</c:v>
                </c:pt>
                <c:pt idx="10">
                  <c:v>2.8242455253130916</c:v>
                </c:pt>
                <c:pt idx="11">
                  <c:v>2.9175423568166128</c:v>
                </c:pt>
                <c:pt idx="12">
                  <c:v>2.8982446664000636</c:v>
                </c:pt>
                <c:pt idx="13">
                  <c:v>2.9180702220232559</c:v>
                </c:pt>
                <c:pt idx="14">
                  <c:v>3.0892300376390152</c:v>
                </c:pt>
                <c:pt idx="15">
                  <c:v>2.9737675418609273</c:v>
                </c:pt>
                <c:pt idx="19">
                  <c:v>3.404243485998721</c:v>
                </c:pt>
                <c:pt idx="20">
                  <c:v>2.9482564866410437</c:v>
                </c:pt>
                <c:pt idx="21">
                  <c:v>3.0094873567558538</c:v>
                </c:pt>
                <c:pt idx="22">
                  <c:v>2.7509469838272</c:v>
                </c:pt>
                <c:pt idx="23">
                  <c:v>2.4765911510290906</c:v>
                </c:pt>
              </c:numCache>
            </c:numRef>
          </c:val>
          <c:smooth val="0"/>
          <c:extLst>
            <c:ext xmlns:c16="http://schemas.microsoft.com/office/drawing/2014/chart" uri="{C3380CC4-5D6E-409C-BE32-E72D297353CC}">
              <c16:uniqueId val="{00000000-A092-4477-A1FB-8CECA3A797EB}"/>
            </c:ext>
          </c:extLst>
        </c:ser>
        <c:ser>
          <c:idx val="1"/>
          <c:order val="1"/>
          <c:tx>
            <c:strRef>
              <c:f>'תרשימים גידולים'!$D$1</c:f>
              <c:strCache>
                <c:ptCount val="1"/>
                <c:pt idx="0">
                  <c:v>מחיר מכירה</c:v>
                </c:pt>
              </c:strCache>
            </c:strRef>
          </c:tx>
          <c:spPr>
            <a:ln w="28575" cap="rnd">
              <a:solidFill>
                <a:schemeClr val="accent2"/>
              </a:solidFill>
              <a:round/>
            </a:ln>
            <a:effectLst/>
          </c:spPr>
          <c:marker>
            <c:symbol val="none"/>
          </c:marker>
          <c:cat>
            <c:multiLvlStrRef>
              <c:f>'תרשימים גידולים'!$A$110:$B$133</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גידולים'!$D$110:$D$133</c:f>
              <c:numCache>
                <c:formatCode>0.00</c:formatCode>
                <c:ptCount val="24"/>
                <c:pt idx="0">
                  <c:v>4.242403184029313</c:v>
                </c:pt>
                <c:pt idx="1">
                  <c:v>4.176805834161339</c:v>
                </c:pt>
                <c:pt idx="2">
                  <c:v>4.7153417817031871</c:v>
                </c:pt>
                <c:pt idx="3">
                  <c:v>5.3119217388041644</c:v>
                </c:pt>
                <c:pt idx="7">
                  <c:v>6.6237711897205669</c:v>
                </c:pt>
                <c:pt idx="8">
                  <c:v>6.35003932980384</c:v>
                </c:pt>
                <c:pt idx="9">
                  <c:v>5.8015911357259924</c:v>
                </c:pt>
                <c:pt idx="10">
                  <c:v>4.8747374708360827</c:v>
                </c:pt>
                <c:pt idx="11">
                  <c:v>4.7929697739306709</c:v>
                </c:pt>
                <c:pt idx="12">
                  <c:v>4.5407581842079372</c:v>
                </c:pt>
                <c:pt idx="13">
                  <c:v>4.7921609928837343</c:v>
                </c:pt>
                <c:pt idx="14">
                  <c:v>4.7186964575468373</c:v>
                </c:pt>
                <c:pt idx="15">
                  <c:v>5.2265998600765462</c:v>
                </c:pt>
                <c:pt idx="19">
                  <c:v>7.4156715914457259</c:v>
                </c:pt>
                <c:pt idx="20">
                  <c:v>6.4687297999535263</c:v>
                </c:pt>
                <c:pt idx="21">
                  <c:v>5.6776495302028751</c:v>
                </c:pt>
                <c:pt idx="22">
                  <c:v>5.0434492521752663</c:v>
                </c:pt>
                <c:pt idx="23">
                  <c:v>4.5136588074965251</c:v>
                </c:pt>
              </c:numCache>
            </c:numRef>
          </c:val>
          <c:smooth val="0"/>
          <c:extLst>
            <c:ext xmlns:c16="http://schemas.microsoft.com/office/drawing/2014/chart" uri="{C3380CC4-5D6E-409C-BE32-E72D297353CC}">
              <c16:uniqueId val="{00000001-A092-4477-A1FB-8CECA3A797EB}"/>
            </c:ext>
          </c:extLst>
        </c:ser>
        <c:dLbls>
          <c:showLegendKey val="0"/>
          <c:showVal val="0"/>
          <c:showCatName val="0"/>
          <c:showSerName val="0"/>
          <c:showPercent val="0"/>
          <c:showBubbleSize val="0"/>
        </c:dLbls>
        <c:smooth val="0"/>
        <c:axId val="517956912"/>
        <c:axId val="517950680"/>
      </c:lineChart>
      <c:catAx>
        <c:axId val="517956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0680"/>
        <c:crosses val="autoZero"/>
        <c:auto val="1"/>
        <c:lblAlgn val="ctr"/>
        <c:lblOffset val="100"/>
        <c:noMultiLvlLbl val="0"/>
      </c:catAx>
      <c:valAx>
        <c:axId val="5179506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low"/>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6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lef" panose="00000500000000000000" pitchFamily="2" charset="-79"/>
          <a:cs typeface="Alef" panose="00000500000000000000" pitchFamily="2" charset="-79"/>
        </a:defRPr>
      </a:pPr>
      <a:endParaRPr lang="he-IL"/>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'תרשימים גידולים'!$A$136</c:f>
          <c:strCache>
            <c:ptCount val="1"/>
            <c:pt idx="0">
              <c:v>מלפפון</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title>
    <c:autoTitleDeleted val="0"/>
    <c:plotArea>
      <c:layout/>
      <c:lineChart>
        <c:grouping val="standard"/>
        <c:varyColors val="0"/>
        <c:ser>
          <c:idx val="0"/>
          <c:order val="0"/>
          <c:tx>
            <c:strRef>
              <c:f>'תרשימים גידולים'!$C$1</c:f>
              <c:strCache>
                <c:ptCount val="1"/>
                <c:pt idx="0">
                  <c:v>מחיר קניה</c:v>
                </c:pt>
              </c:strCache>
            </c:strRef>
          </c:tx>
          <c:spPr>
            <a:ln w="28575" cap="rnd">
              <a:solidFill>
                <a:schemeClr val="accent1"/>
              </a:solidFill>
              <a:round/>
            </a:ln>
            <a:effectLst/>
          </c:spPr>
          <c:marker>
            <c:symbol val="none"/>
          </c:marker>
          <c:cat>
            <c:multiLvlStrRef>
              <c:f>'תרשימים גידולים'!$A$137:$B$160</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גידולים'!$C$137:$C$160</c:f>
              <c:numCache>
                <c:formatCode>0.00</c:formatCode>
                <c:ptCount val="24"/>
                <c:pt idx="0">
                  <c:v>3.6440592230644366</c:v>
                </c:pt>
                <c:pt idx="1">
                  <c:v>4.0485437314998869</c:v>
                </c:pt>
                <c:pt idx="2">
                  <c:v>3.2043980370345468</c:v>
                </c:pt>
                <c:pt idx="3">
                  <c:v>2.5467915110968158</c:v>
                </c:pt>
                <c:pt idx="4">
                  <c:v>2.736971805575442</c:v>
                </c:pt>
                <c:pt idx="5">
                  <c:v>3.1175247023949031</c:v>
                </c:pt>
                <c:pt idx="6">
                  <c:v>3.4265913565031187</c:v>
                </c:pt>
                <c:pt idx="7">
                  <c:v>2.9363727870470524</c:v>
                </c:pt>
                <c:pt idx="8">
                  <c:v>3.3239590614679968</c:v>
                </c:pt>
                <c:pt idx="9">
                  <c:v>3.3200532383525005</c:v>
                </c:pt>
                <c:pt idx="10">
                  <c:v>3.4846443778761782</c:v>
                </c:pt>
                <c:pt idx="11">
                  <c:v>3.2274544850615539</c:v>
                </c:pt>
                <c:pt idx="12">
                  <c:v>3.3995479217144799</c:v>
                </c:pt>
                <c:pt idx="13">
                  <c:v>3.7480775165464011</c:v>
                </c:pt>
                <c:pt idx="14">
                  <c:v>3.7898266618141765</c:v>
                </c:pt>
                <c:pt idx="15">
                  <c:v>3.6540410361034956</c:v>
                </c:pt>
                <c:pt idx="16">
                  <c:v>3.7239805542097497</c:v>
                </c:pt>
                <c:pt idx="17">
                  <c:v>3.0864608645528349</c:v>
                </c:pt>
                <c:pt idx="18">
                  <c:v>3.5384093034327075</c:v>
                </c:pt>
                <c:pt idx="19">
                  <c:v>3.3051485133784166</c:v>
                </c:pt>
                <c:pt idx="20">
                  <c:v>3.5240385585082823</c:v>
                </c:pt>
                <c:pt idx="21">
                  <c:v>4.0580524112872984</c:v>
                </c:pt>
                <c:pt idx="22">
                  <c:v>3.7214517265104772</c:v>
                </c:pt>
                <c:pt idx="23">
                  <c:v>3.6281451226091894</c:v>
                </c:pt>
              </c:numCache>
            </c:numRef>
          </c:val>
          <c:smooth val="0"/>
          <c:extLst>
            <c:ext xmlns:c16="http://schemas.microsoft.com/office/drawing/2014/chart" uri="{C3380CC4-5D6E-409C-BE32-E72D297353CC}">
              <c16:uniqueId val="{00000000-464E-4CC2-8F8E-DCC70AED3D0C}"/>
            </c:ext>
          </c:extLst>
        </c:ser>
        <c:ser>
          <c:idx val="1"/>
          <c:order val="1"/>
          <c:tx>
            <c:strRef>
              <c:f>'תרשימים גידולים'!$D$1</c:f>
              <c:strCache>
                <c:ptCount val="1"/>
                <c:pt idx="0">
                  <c:v>מחיר מכירה</c:v>
                </c:pt>
              </c:strCache>
            </c:strRef>
          </c:tx>
          <c:spPr>
            <a:ln w="28575" cap="rnd">
              <a:solidFill>
                <a:schemeClr val="accent2"/>
              </a:solidFill>
              <a:round/>
            </a:ln>
            <a:effectLst/>
          </c:spPr>
          <c:marker>
            <c:symbol val="none"/>
          </c:marker>
          <c:cat>
            <c:multiLvlStrRef>
              <c:f>'תרשימים גידולים'!$A$137:$B$160</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גידולים'!$D$137:$D$160</c:f>
              <c:numCache>
                <c:formatCode>0.00</c:formatCode>
                <c:ptCount val="24"/>
                <c:pt idx="0">
                  <c:v>4.6069238937637067</c:v>
                </c:pt>
                <c:pt idx="1">
                  <c:v>4.8675143585020972</c:v>
                </c:pt>
                <c:pt idx="2">
                  <c:v>4.6627987666789892</c:v>
                </c:pt>
                <c:pt idx="3">
                  <c:v>4.5589635703169762</c:v>
                </c:pt>
                <c:pt idx="4">
                  <c:v>4.4824101418371631</c:v>
                </c:pt>
                <c:pt idx="5">
                  <c:v>4.2918203167030002</c:v>
                </c:pt>
                <c:pt idx="6">
                  <c:v>4.462494965667104</c:v>
                </c:pt>
                <c:pt idx="7">
                  <c:v>4.4469098893848207</c:v>
                </c:pt>
                <c:pt idx="8">
                  <c:v>4.8741097714678059</c:v>
                </c:pt>
                <c:pt idx="9">
                  <c:v>5.3432941846203468</c:v>
                </c:pt>
                <c:pt idx="10">
                  <c:v>4.9534532335559049</c:v>
                </c:pt>
                <c:pt idx="11">
                  <c:v>4.9338148475733892</c:v>
                </c:pt>
                <c:pt idx="12">
                  <c:v>4.5387566073594403</c:v>
                </c:pt>
                <c:pt idx="13">
                  <c:v>4.4569825116203097</c:v>
                </c:pt>
                <c:pt idx="14">
                  <c:v>4.372363412070607</c:v>
                </c:pt>
                <c:pt idx="15">
                  <c:v>4.8547314286840955</c:v>
                </c:pt>
                <c:pt idx="16">
                  <c:v>4.5412890311214564</c:v>
                </c:pt>
                <c:pt idx="17">
                  <c:v>4.9044867714913281</c:v>
                </c:pt>
                <c:pt idx="18">
                  <c:v>5.0855681659758325</c:v>
                </c:pt>
                <c:pt idx="19">
                  <c:v>4.603756760040504</c:v>
                </c:pt>
                <c:pt idx="20">
                  <c:v>5.2297731540801866</c:v>
                </c:pt>
                <c:pt idx="21">
                  <c:v>5.405371966319116</c:v>
                </c:pt>
                <c:pt idx="22">
                  <c:v>5.640089562297689</c:v>
                </c:pt>
                <c:pt idx="23">
                  <c:v>5.5296541374277304</c:v>
                </c:pt>
              </c:numCache>
            </c:numRef>
          </c:val>
          <c:smooth val="0"/>
          <c:extLst>
            <c:ext xmlns:c16="http://schemas.microsoft.com/office/drawing/2014/chart" uri="{C3380CC4-5D6E-409C-BE32-E72D297353CC}">
              <c16:uniqueId val="{00000001-464E-4CC2-8F8E-DCC70AED3D0C}"/>
            </c:ext>
          </c:extLst>
        </c:ser>
        <c:dLbls>
          <c:showLegendKey val="0"/>
          <c:showVal val="0"/>
          <c:showCatName val="0"/>
          <c:showSerName val="0"/>
          <c:showPercent val="0"/>
          <c:showBubbleSize val="0"/>
        </c:dLbls>
        <c:smooth val="0"/>
        <c:axId val="517956912"/>
        <c:axId val="517950680"/>
      </c:lineChart>
      <c:catAx>
        <c:axId val="517956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0680"/>
        <c:crosses val="autoZero"/>
        <c:auto val="1"/>
        <c:lblAlgn val="ctr"/>
        <c:lblOffset val="100"/>
        <c:noMultiLvlLbl val="0"/>
      </c:catAx>
      <c:valAx>
        <c:axId val="5179506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low"/>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6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lef" panose="00000500000000000000" pitchFamily="2" charset="-79"/>
          <a:cs typeface="Alef" panose="00000500000000000000" pitchFamily="2" charset="-79"/>
        </a:defRPr>
      </a:pPr>
      <a:endParaRPr lang="he-IL"/>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'תרשימים גידולים'!$A$163</c:f>
          <c:strCache>
            <c:ptCount val="1"/>
            <c:pt idx="0">
              <c:v>חצילים</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title>
    <c:autoTitleDeleted val="0"/>
    <c:plotArea>
      <c:layout/>
      <c:lineChart>
        <c:grouping val="standard"/>
        <c:varyColors val="0"/>
        <c:ser>
          <c:idx val="0"/>
          <c:order val="0"/>
          <c:tx>
            <c:strRef>
              <c:f>'תרשימים גידולים'!$C$1</c:f>
              <c:strCache>
                <c:ptCount val="1"/>
                <c:pt idx="0">
                  <c:v>מחיר קניה</c:v>
                </c:pt>
              </c:strCache>
            </c:strRef>
          </c:tx>
          <c:spPr>
            <a:ln w="28575" cap="rnd">
              <a:solidFill>
                <a:schemeClr val="accent1"/>
              </a:solidFill>
              <a:round/>
            </a:ln>
            <a:effectLst/>
          </c:spPr>
          <c:marker>
            <c:symbol val="none"/>
          </c:marker>
          <c:cat>
            <c:multiLvlStrRef>
              <c:f>'תרשימים גידולים'!$A$164:$B$187</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גידולים'!$C$164:$C$187</c:f>
              <c:numCache>
                <c:formatCode>0.00</c:formatCode>
                <c:ptCount val="24"/>
                <c:pt idx="0">
                  <c:v>4.8152449077035344</c:v>
                </c:pt>
                <c:pt idx="1">
                  <c:v>5.2071033128747546</c:v>
                </c:pt>
                <c:pt idx="2">
                  <c:v>3.3921984874618549</c:v>
                </c:pt>
                <c:pt idx="3">
                  <c:v>2.8417314119303221</c:v>
                </c:pt>
                <c:pt idx="4">
                  <c:v>3.3517735804634095</c:v>
                </c:pt>
                <c:pt idx="5">
                  <c:v>2.4886908603740401</c:v>
                </c:pt>
                <c:pt idx="6">
                  <c:v>3.3504093337591492</c:v>
                </c:pt>
                <c:pt idx="7">
                  <c:v>3.6453953687133205</c:v>
                </c:pt>
                <c:pt idx="8">
                  <c:v>2.9757437529322655</c:v>
                </c:pt>
                <c:pt idx="9">
                  <c:v>2.940554318966722</c:v>
                </c:pt>
                <c:pt idx="10">
                  <c:v>2.5482071241666775</c:v>
                </c:pt>
                <c:pt idx="11">
                  <c:v>2.2628489228345376</c:v>
                </c:pt>
                <c:pt idx="12">
                  <c:v>2.9490388845379174</c:v>
                </c:pt>
                <c:pt idx="13">
                  <c:v>3.3653785134562697</c:v>
                </c:pt>
                <c:pt idx="14">
                  <c:v>2.559691319116387</c:v>
                </c:pt>
                <c:pt idx="15">
                  <c:v>3.8778767427571892</c:v>
                </c:pt>
                <c:pt idx="16">
                  <c:v>4.1979677293319835</c:v>
                </c:pt>
                <c:pt idx="17">
                  <c:v>3.5079140519131564</c:v>
                </c:pt>
                <c:pt idx="18">
                  <c:v>3.7727578983795573</c:v>
                </c:pt>
                <c:pt idx="19">
                  <c:v>3.8344741416035921</c:v>
                </c:pt>
                <c:pt idx="20">
                  <c:v>3.3064161354494894</c:v>
                </c:pt>
                <c:pt idx="21">
                  <c:v>3.2573265693457945</c:v>
                </c:pt>
                <c:pt idx="22">
                  <c:v>3.8995578913751925</c:v>
                </c:pt>
                <c:pt idx="23">
                  <c:v>3.3897055234833169</c:v>
                </c:pt>
              </c:numCache>
            </c:numRef>
          </c:val>
          <c:smooth val="0"/>
          <c:extLst>
            <c:ext xmlns:c16="http://schemas.microsoft.com/office/drawing/2014/chart" uri="{C3380CC4-5D6E-409C-BE32-E72D297353CC}">
              <c16:uniqueId val="{00000000-B9D7-4A4A-BEC5-465141335402}"/>
            </c:ext>
          </c:extLst>
        </c:ser>
        <c:ser>
          <c:idx val="1"/>
          <c:order val="1"/>
          <c:tx>
            <c:strRef>
              <c:f>'תרשימים גידולים'!$D$1</c:f>
              <c:strCache>
                <c:ptCount val="1"/>
                <c:pt idx="0">
                  <c:v>מחיר מכירה</c:v>
                </c:pt>
              </c:strCache>
            </c:strRef>
          </c:tx>
          <c:spPr>
            <a:ln w="28575" cap="rnd">
              <a:solidFill>
                <a:schemeClr val="accent2"/>
              </a:solidFill>
              <a:round/>
            </a:ln>
            <a:effectLst/>
          </c:spPr>
          <c:marker>
            <c:symbol val="none"/>
          </c:marker>
          <c:cat>
            <c:multiLvlStrRef>
              <c:f>'תרשימים גידולים'!$A$164:$B$187</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גידולים'!$D$164:$D$187</c:f>
              <c:numCache>
                <c:formatCode>0.00</c:formatCode>
                <c:ptCount val="24"/>
                <c:pt idx="0">
                  <c:v>6.4109613422454519</c:v>
                </c:pt>
                <c:pt idx="1">
                  <c:v>7.1457491194590936</c:v>
                </c:pt>
                <c:pt idx="2">
                  <c:v>5.8582806908282334</c:v>
                </c:pt>
                <c:pt idx="3">
                  <c:v>5.1675665983757142</c:v>
                </c:pt>
                <c:pt idx="4">
                  <c:v>5.4753606935857126</c:v>
                </c:pt>
                <c:pt idx="5">
                  <c:v>4.2130548318358887</c:v>
                </c:pt>
                <c:pt idx="6">
                  <c:v>4.2871629295773364</c:v>
                </c:pt>
                <c:pt idx="7">
                  <c:v>5.4271983433655153</c:v>
                </c:pt>
                <c:pt idx="8">
                  <c:v>5.3874973040815846</c:v>
                </c:pt>
                <c:pt idx="9">
                  <c:v>5.2170475675990948</c:v>
                </c:pt>
                <c:pt idx="10">
                  <c:v>4.7143048245705712</c:v>
                </c:pt>
                <c:pt idx="11">
                  <c:v>3.9009460882905707</c:v>
                </c:pt>
                <c:pt idx="12">
                  <c:v>4.6537458119818895</c:v>
                </c:pt>
                <c:pt idx="13">
                  <c:v>4.9729658461949047</c:v>
                </c:pt>
                <c:pt idx="14">
                  <c:v>4.4644650415139218</c:v>
                </c:pt>
                <c:pt idx="15">
                  <c:v>5.934115016204669</c:v>
                </c:pt>
                <c:pt idx="16">
                  <c:v>6.1970149330401263</c:v>
                </c:pt>
                <c:pt idx="17">
                  <c:v>5.7659245165598119</c:v>
                </c:pt>
                <c:pt idx="18">
                  <c:v>5.9746625235644251</c:v>
                </c:pt>
                <c:pt idx="19">
                  <c:v>5.9246227845128772</c:v>
                </c:pt>
                <c:pt idx="20">
                  <c:v>6.2623401720243992</c:v>
                </c:pt>
                <c:pt idx="21">
                  <c:v>5.2204198180883639</c:v>
                </c:pt>
                <c:pt idx="22">
                  <c:v>5.885078743786651</c:v>
                </c:pt>
                <c:pt idx="23">
                  <c:v>5.4300099865629736</c:v>
                </c:pt>
              </c:numCache>
            </c:numRef>
          </c:val>
          <c:smooth val="0"/>
          <c:extLst>
            <c:ext xmlns:c16="http://schemas.microsoft.com/office/drawing/2014/chart" uri="{C3380CC4-5D6E-409C-BE32-E72D297353CC}">
              <c16:uniqueId val="{00000001-B9D7-4A4A-BEC5-465141335402}"/>
            </c:ext>
          </c:extLst>
        </c:ser>
        <c:dLbls>
          <c:showLegendKey val="0"/>
          <c:showVal val="0"/>
          <c:showCatName val="0"/>
          <c:showSerName val="0"/>
          <c:showPercent val="0"/>
          <c:showBubbleSize val="0"/>
        </c:dLbls>
        <c:smooth val="0"/>
        <c:axId val="517956912"/>
        <c:axId val="517950680"/>
      </c:lineChart>
      <c:catAx>
        <c:axId val="517956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0680"/>
        <c:crosses val="autoZero"/>
        <c:auto val="1"/>
        <c:lblAlgn val="ctr"/>
        <c:lblOffset val="100"/>
        <c:noMultiLvlLbl val="0"/>
      </c:catAx>
      <c:valAx>
        <c:axId val="5179506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low"/>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6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lef" panose="00000500000000000000" pitchFamily="2" charset="-79"/>
          <a:cs typeface="Alef" panose="00000500000000000000" pitchFamily="2" charset="-79"/>
        </a:defRPr>
      </a:pPr>
      <a:endParaRPr lang="he-IL"/>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'תרשימים גידולים'!$A$190</c:f>
          <c:strCache>
            <c:ptCount val="1"/>
            <c:pt idx="0">
              <c:v>שום</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title>
    <c:autoTitleDeleted val="0"/>
    <c:plotArea>
      <c:layout/>
      <c:lineChart>
        <c:grouping val="standard"/>
        <c:varyColors val="0"/>
        <c:ser>
          <c:idx val="0"/>
          <c:order val="0"/>
          <c:tx>
            <c:strRef>
              <c:f>'תרשימים גידולים'!$C$1</c:f>
              <c:strCache>
                <c:ptCount val="1"/>
                <c:pt idx="0">
                  <c:v>מחיר קניה</c:v>
                </c:pt>
              </c:strCache>
            </c:strRef>
          </c:tx>
          <c:spPr>
            <a:ln w="28575" cap="rnd">
              <a:solidFill>
                <a:schemeClr val="accent1"/>
              </a:solidFill>
              <a:round/>
            </a:ln>
            <a:effectLst/>
          </c:spPr>
          <c:marker>
            <c:symbol val="none"/>
          </c:marker>
          <c:cat>
            <c:multiLvlStrRef>
              <c:f>'תרשימים גידולים'!$A$191:$B$214</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גידולים'!$C$191:$C$214</c:f>
              <c:numCache>
                <c:formatCode>0.00</c:formatCode>
                <c:ptCount val="24"/>
                <c:pt idx="1">
                  <c:v>9.1666666666666679</c:v>
                </c:pt>
                <c:pt idx="2">
                  <c:v>5.6611165791776026</c:v>
                </c:pt>
                <c:pt idx="3">
                  <c:v>9.5217315078972948</c:v>
                </c:pt>
                <c:pt idx="4">
                  <c:v>12.301417151162791</c:v>
                </c:pt>
                <c:pt idx="5">
                  <c:v>12.419908393006903</c:v>
                </c:pt>
                <c:pt idx="6">
                  <c:v>8.8010859929078009</c:v>
                </c:pt>
                <c:pt idx="7">
                  <c:v>11.13953488372093</c:v>
                </c:pt>
                <c:pt idx="8">
                  <c:v>13.982942430703625</c:v>
                </c:pt>
                <c:pt idx="9">
                  <c:v>17.766990291262136</c:v>
                </c:pt>
                <c:pt idx="10">
                  <c:v>17.5</c:v>
                </c:pt>
                <c:pt idx="11">
                  <c:v>13.009315688664461</c:v>
                </c:pt>
                <c:pt idx="12">
                  <c:v>12.986743806717312</c:v>
                </c:pt>
                <c:pt idx="13">
                  <c:v>12.520379676158571</c:v>
                </c:pt>
                <c:pt idx="14">
                  <c:v>6.5824395295510021</c:v>
                </c:pt>
                <c:pt idx="15">
                  <c:v>9.0031875973484983</c:v>
                </c:pt>
                <c:pt idx="16">
                  <c:v>9.6730908214887972</c:v>
                </c:pt>
                <c:pt idx="17">
                  <c:v>10.270719122863593</c:v>
                </c:pt>
                <c:pt idx="18">
                  <c:v>5.4256493164165462</c:v>
                </c:pt>
                <c:pt idx="19">
                  <c:v>4.9934597776324399</c:v>
                </c:pt>
                <c:pt idx="20">
                  <c:v>5.149442835833991</c:v>
                </c:pt>
                <c:pt idx="21">
                  <c:v>6.7718817204301072</c:v>
                </c:pt>
                <c:pt idx="22">
                  <c:v>7.1977818853974123</c:v>
                </c:pt>
                <c:pt idx="23">
                  <c:v>9.6792258360054966</c:v>
                </c:pt>
              </c:numCache>
            </c:numRef>
          </c:val>
          <c:smooth val="0"/>
          <c:extLst>
            <c:ext xmlns:c16="http://schemas.microsoft.com/office/drawing/2014/chart" uri="{C3380CC4-5D6E-409C-BE32-E72D297353CC}">
              <c16:uniqueId val="{00000000-29B4-4CD7-8ED3-984FBF558AB4}"/>
            </c:ext>
          </c:extLst>
        </c:ser>
        <c:ser>
          <c:idx val="1"/>
          <c:order val="1"/>
          <c:tx>
            <c:strRef>
              <c:f>'תרשימים גידולים'!$D$1</c:f>
              <c:strCache>
                <c:ptCount val="1"/>
                <c:pt idx="0">
                  <c:v>מחיר מכירה</c:v>
                </c:pt>
              </c:strCache>
            </c:strRef>
          </c:tx>
          <c:spPr>
            <a:ln w="28575" cap="rnd">
              <a:solidFill>
                <a:schemeClr val="accent2"/>
              </a:solidFill>
              <a:round/>
            </a:ln>
            <a:effectLst/>
          </c:spPr>
          <c:marker>
            <c:symbol val="none"/>
          </c:marker>
          <c:cat>
            <c:multiLvlStrRef>
              <c:f>'תרשימים גידולים'!$A$191:$B$214</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גידולים'!$D$191:$D$214</c:f>
              <c:numCache>
                <c:formatCode>0.00</c:formatCode>
                <c:ptCount val="24"/>
                <c:pt idx="1">
                  <c:v>10.416666666666668</c:v>
                </c:pt>
                <c:pt idx="2">
                  <c:v>9.028513344453712</c:v>
                </c:pt>
                <c:pt idx="3">
                  <c:v>12.281333035841058</c:v>
                </c:pt>
                <c:pt idx="4">
                  <c:v>15.320591517857142</c:v>
                </c:pt>
                <c:pt idx="5">
                  <c:v>24.429518884892083</c:v>
                </c:pt>
                <c:pt idx="6">
                  <c:v>13.548256445717673</c:v>
                </c:pt>
                <c:pt idx="7">
                  <c:v>12.651162790697674</c:v>
                </c:pt>
                <c:pt idx="8">
                  <c:v>16.162046908315567</c:v>
                </c:pt>
                <c:pt idx="9">
                  <c:v>20.218446601941746</c:v>
                </c:pt>
                <c:pt idx="10">
                  <c:v>19.888888888888889</c:v>
                </c:pt>
                <c:pt idx="11">
                  <c:v>13.011492251436531</c:v>
                </c:pt>
                <c:pt idx="12">
                  <c:v>12.987194391125289</c:v>
                </c:pt>
                <c:pt idx="13">
                  <c:v>18.433281004709578</c:v>
                </c:pt>
                <c:pt idx="14">
                  <c:v>11.620402524893997</c:v>
                </c:pt>
                <c:pt idx="15">
                  <c:v>12.701606557377049</c:v>
                </c:pt>
                <c:pt idx="16">
                  <c:v>14.562134502923977</c:v>
                </c:pt>
                <c:pt idx="17">
                  <c:v>14.210443535703051</c:v>
                </c:pt>
                <c:pt idx="18">
                  <c:v>7.6224741251848203</c:v>
                </c:pt>
                <c:pt idx="19">
                  <c:v>6.8009364144389064</c:v>
                </c:pt>
                <c:pt idx="20">
                  <c:v>7.2113445532211342</c:v>
                </c:pt>
                <c:pt idx="21">
                  <c:v>8.2245631127077878</c:v>
                </c:pt>
                <c:pt idx="22">
                  <c:v>10.972287735849056</c:v>
                </c:pt>
                <c:pt idx="23">
                  <c:v>12.452569750367108</c:v>
                </c:pt>
              </c:numCache>
            </c:numRef>
          </c:val>
          <c:smooth val="0"/>
          <c:extLst>
            <c:ext xmlns:c16="http://schemas.microsoft.com/office/drawing/2014/chart" uri="{C3380CC4-5D6E-409C-BE32-E72D297353CC}">
              <c16:uniqueId val="{00000001-29B4-4CD7-8ED3-984FBF558AB4}"/>
            </c:ext>
          </c:extLst>
        </c:ser>
        <c:dLbls>
          <c:showLegendKey val="0"/>
          <c:showVal val="0"/>
          <c:showCatName val="0"/>
          <c:showSerName val="0"/>
          <c:showPercent val="0"/>
          <c:showBubbleSize val="0"/>
        </c:dLbls>
        <c:smooth val="0"/>
        <c:axId val="517956912"/>
        <c:axId val="517950680"/>
      </c:lineChart>
      <c:catAx>
        <c:axId val="517956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0680"/>
        <c:crosses val="autoZero"/>
        <c:auto val="1"/>
        <c:lblAlgn val="ctr"/>
        <c:lblOffset val="100"/>
        <c:noMultiLvlLbl val="0"/>
      </c:catAx>
      <c:valAx>
        <c:axId val="5179506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low"/>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6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lef" panose="00000500000000000000" pitchFamily="2" charset="-79"/>
          <a:cs typeface="Alef" panose="00000500000000000000" pitchFamily="2" charset="-79"/>
        </a:defRPr>
      </a:pPr>
      <a:endParaRPr lang="he-IL"/>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'תרשימים גידולים'!$A$244</c:f>
          <c:strCache>
            <c:ptCount val="1"/>
            <c:pt idx="0">
              <c:v>לימונים</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title>
    <c:autoTitleDeleted val="0"/>
    <c:plotArea>
      <c:layout/>
      <c:lineChart>
        <c:grouping val="standard"/>
        <c:varyColors val="0"/>
        <c:ser>
          <c:idx val="0"/>
          <c:order val="0"/>
          <c:tx>
            <c:strRef>
              <c:f>'תרשימים גידולים'!$C$1</c:f>
              <c:strCache>
                <c:ptCount val="1"/>
                <c:pt idx="0">
                  <c:v>מחיר קניה</c:v>
                </c:pt>
              </c:strCache>
            </c:strRef>
          </c:tx>
          <c:spPr>
            <a:ln w="28575" cap="rnd">
              <a:solidFill>
                <a:schemeClr val="accent1"/>
              </a:solidFill>
              <a:round/>
            </a:ln>
            <a:effectLst/>
          </c:spPr>
          <c:marker>
            <c:symbol val="none"/>
          </c:marker>
          <c:cat>
            <c:multiLvlStrRef>
              <c:f>'תרשימים גידולים'!$A$245:$B$268</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גידולים'!$C$245:$C$268</c:f>
              <c:numCache>
                <c:formatCode>0.00</c:formatCode>
                <c:ptCount val="24"/>
                <c:pt idx="0">
                  <c:v>2.8874882058416871</c:v>
                </c:pt>
                <c:pt idx="1">
                  <c:v>2.5948837736443462</c:v>
                </c:pt>
                <c:pt idx="2">
                  <c:v>2.4409872828067654</c:v>
                </c:pt>
                <c:pt idx="3">
                  <c:v>2.7090259912067869</c:v>
                </c:pt>
                <c:pt idx="4">
                  <c:v>3.0066885831620005</c:v>
                </c:pt>
                <c:pt idx="5">
                  <c:v>3.9467835046925486</c:v>
                </c:pt>
                <c:pt idx="6">
                  <c:v>6.3010782821697457</c:v>
                </c:pt>
                <c:pt idx="7">
                  <c:v>5.7564916195561304</c:v>
                </c:pt>
                <c:pt idx="8">
                  <c:v>4.9256680413975564</c:v>
                </c:pt>
                <c:pt idx="9">
                  <c:v>4.6269442092857265</c:v>
                </c:pt>
                <c:pt idx="10">
                  <c:v>4.0501690190244668</c:v>
                </c:pt>
                <c:pt idx="11">
                  <c:v>3.8665901400366907</c:v>
                </c:pt>
                <c:pt idx="12">
                  <c:v>3.4115870291272472</c:v>
                </c:pt>
                <c:pt idx="13">
                  <c:v>2.9946175371081911</c:v>
                </c:pt>
                <c:pt idx="14">
                  <c:v>2.9329477915898376</c:v>
                </c:pt>
                <c:pt idx="15">
                  <c:v>2.966641705509284</c:v>
                </c:pt>
                <c:pt idx="16">
                  <c:v>3.555901575068614</c:v>
                </c:pt>
                <c:pt idx="17">
                  <c:v>4.8590803958907136</c:v>
                </c:pt>
                <c:pt idx="18">
                  <c:v>4.8905302322420621</c:v>
                </c:pt>
                <c:pt idx="19">
                  <c:v>3.6288559486498402</c:v>
                </c:pt>
                <c:pt idx="20">
                  <c:v>3.4489001038321301</c:v>
                </c:pt>
                <c:pt idx="21">
                  <c:v>3.3007070472230962</c:v>
                </c:pt>
                <c:pt idx="22">
                  <c:v>2.9442938116313377</c:v>
                </c:pt>
                <c:pt idx="23">
                  <c:v>2.8759225371537753</c:v>
                </c:pt>
              </c:numCache>
            </c:numRef>
          </c:val>
          <c:smooth val="0"/>
          <c:extLst>
            <c:ext xmlns:c16="http://schemas.microsoft.com/office/drawing/2014/chart" uri="{C3380CC4-5D6E-409C-BE32-E72D297353CC}">
              <c16:uniqueId val="{00000000-6ED1-4896-BA52-CEEF3F2C3226}"/>
            </c:ext>
          </c:extLst>
        </c:ser>
        <c:ser>
          <c:idx val="1"/>
          <c:order val="1"/>
          <c:tx>
            <c:strRef>
              <c:f>'תרשימים גידולים'!$D$1</c:f>
              <c:strCache>
                <c:ptCount val="1"/>
                <c:pt idx="0">
                  <c:v>מחיר מכירה</c:v>
                </c:pt>
              </c:strCache>
            </c:strRef>
          </c:tx>
          <c:spPr>
            <a:ln w="28575" cap="rnd">
              <a:solidFill>
                <a:schemeClr val="accent2"/>
              </a:solidFill>
              <a:round/>
            </a:ln>
            <a:effectLst/>
          </c:spPr>
          <c:marker>
            <c:symbol val="none"/>
          </c:marker>
          <c:cat>
            <c:multiLvlStrRef>
              <c:f>'תרשימים גידולים'!$A$245:$B$268</c:f>
              <c:multiLvlStrCache>
                <c:ptCount val="24"/>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lvl>
                <c:lvl>
                  <c:pt idx="0">
                    <c:v>2017</c:v>
                  </c:pt>
                  <c:pt idx="12">
                    <c:v>2018</c:v>
                  </c:pt>
                </c:lvl>
              </c:multiLvlStrCache>
            </c:multiLvlStrRef>
          </c:cat>
          <c:val>
            <c:numRef>
              <c:f>'תרשימים גידולים'!$D$245:$D$268</c:f>
              <c:numCache>
                <c:formatCode>0.00</c:formatCode>
                <c:ptCount val="24"/>
                <c:pt idx="0">
                  <c:v>5.5356302484950506</c:v>
                </c:pt>
                <c:pt idx="1">
                  <c:v>5.3940823882490934</c:v>
                </c:pt>
                <c:pt idx="2">
                  <c:v>5.348430752778417</c:v>
                </c:pt>
                <c:pt idx="3">
                  <c:v>5.5620120106587834</c:v>
                </c:pt>
                <c:pt idx="4">
                  <c:v>6.0967488340321285</c:v>
                </c:pt>
                <c:pt idx="5">
                  <c:v>7.0465597656072898</c:v>
                </c:pt>
                <c:pt idx="6">
                  <c:v>9.3994787059781029</c:v>
                </c:pt>
                <c:pt idx="7">
                  <c:v>9.3369071711105569</c:v>
                </c:pt>
                <c:pt idx="8">
                  <c:v>8.7773126667297934</c:v>
                </c:pt>
                <c:pt idx="9">
                  <c:v>8.3080856193312496</c:v>
                </c:pt>
                <c:pt idx="10">
                  <c:v>7.2391911047355526</c:v>
                </c:pt>
                <c:pt idx="11">
                  <c:v>6.7060603520046174</c:v>
                </c:pt>
                <c:pt idx="12">
                  <c:v>7.0062364661826013</c:v>
                </c:pt>
                <c:pt idx="13">
                  <c:v>6.1796833116746654</c:v>
                </c:pt>
                <c:pt idx="14">
                  <c:v>5.9289867169513872</c:v>
                </c:pt>
                <c:pt idx="15">
                  <c:v>6.2738068093273514</c:v>
                </c:pt>
                <c:pt idx="16">
                  <c:v>6.3404507274605644</c:v>
                </c:pt>
                <c:pt idx="17">
                  <c:v>8.4873393967354946</c:v>
                </c:pt>
                <c:pt idx="18">
                  <c:v>8.7222709975591481</c:v>
                </c:pt>
                <c:pt idx="19">
                  <c:v>7.4012186720447133</c:v>
                </c:pt>
                <c:pt idx="20">
                  <c:v>6.9193548610294267</c:v>
                </c:pt>
                <c:pt idx="21">
                  <c:v>6.8117583692036714</c:v>
                </c:pt>
                <c:pt idx="22">
                  <c:v>6.1710023840824242</c:v>
                </c:pt>
                <c:pt idx="23">
                  <c:v>6.0058892247912707</c:v>
                </c:pt>
              </c:numCache>
            </c:numRef>
          </c:val>
          <c:smooth val="0"/>
          <c:extLst>
            <c:ext xmlns:c16="http://schemas.microsoft.com/office/drawing/2014/chart" uri="{C3380CC4-5D6E-409C-BE32-E72D297353CC}">
              <c16:uniqueId val="{00000001-6ED1-4896-BA52-CEEF3F2C3226}"/>
            </c:ext>
          </c:extLst>
        </c:ser>
        <c:dLbls>
          <c:showLegendKey val="0"/>
          <c:showVal val="0"/>
          <c:showCatName val="0"/>
          <c:showSerName val="0"/>
          <c:showPercent val="0"/>
          <c:showBubbleSize val="0"/>
        </c:dLbls>
        <c:smooth val="0"/>
        <c:axId val="517956912"/>
        <c:axId val="517950680"/>
      </c:lineChart>
      <c:catAx>
        <c:axId val="517956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0680"/>
        <c:crosses val="autoZero"/>
        <c:auto val="1"/>
        <c:lblAlgn val="ctr"/>
        <c:lblOffset val="100"/>
        <c:noMultiLvlLbl val="0"/>
      </c:catAx>
      <c:valAx>
        <c:axId val="5179506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low"/>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crossAx val="517956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lef" panose="00000500000000000000" pitchFamily="2" charset="-79"/>
              <a:ea typeface="+mn-ea"/>
              <a:cs typeface="Alef" panose="00000500000000000000" pitchFamily="2" charset="-79"/>
            </a:defRPr>
          </a:pPr>
          <a:endParaRPr lang="he-I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lef" panose="00000500000000000000" pitchFamily="2" charset="-79"/>
          <a:cs typeface="Alef" panose="00000500000000000000" pitchFamily="2" charset="-79"/>
        </a:defRPr>
      </a:pPr>
      <a:endParaRPr lang="he-I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59FFE91E9B943E1B9E2BFE760E6FBDA"/>
        <w:category>
          <w:name w:val="General"/>
          <w:gallery w:val="placeholder"/>
        </w:category>
        <w:types>
          <w:type w:val="bbPlcHdr"/>
        </w:types>
        <w:behaviors>
          <w:behavior w:val="content"/>
        </w:behaviors>
        <w:guid w:val="{F78239D6-9A77-4B0F-8D2C-6228B7DCA5F4}"/>
      </w:docPartPr>
      <w:docPartBody>
        <w:p w:rsidR="00F67144" w:rsidRDefault="00F750D0" w:rsidP="00F750D0">
          <w:pPr>
            <w:pStyle w:val="159FFE91E9B943E1B9E2BFE760E6FBDA"/>
          </w:pPr>
          <w:r w:rsidRPr="00522F20">
            <w:rPr>
              <w:rStyle w:val="PlaceholderText"/>
              <w:rtl/>
            </w:rPr>
            <w:t>בחר פריט</w:t>
          </w:r>
          <w:r w:rsidRPr="00522F20">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lef">
    <w:panose1 w:val="00000500000000000000"/>
    <w:charset w:val="00"/>
    <w:family w:val="auto"/>
    <w:pitch w:val="variable"/>
    <w:sig w:usb0="00000807" w:usb1="40000000" w:usb2="00000000" w:usb3="00000000" w:csb0="000000B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0D0"/>
    <w:rsid w:val="001D1100"/>
    <w:rsid w:val="002D6BAC"/>
    <w:rsid w:val="003C22C8"/>
    <w:rsid w:val="00456B26"/>
    <w:rsid w:val="004808E5"/>
    <w:rsid w:val="00554D8A"/>
    <w:rsid w:val="00586713"/>
    <w:rsid w:val="0067299C"/>
    <w:rsid w:val="006D2732"/>
    <w:rsid w:val="008B5BE4"/>
    <w:rsid w:val="00A851AB"/>
    <w:rsid w:val="00B31C96"/>
    <w:rsid w:val="00BD7A8A"/>
    <w:rsid w:val="00C03F0D"/>
    <w:rsid w:val="00C05CF8"/>
    <w:rsid w:val="00C454A7"/>
    <w:rsid w:val="00CC6CB6"/>
    <w:rsid w:val="00D51DB3"/>
    <w:rsid w:val="00D8776E"/>
    <w:rsid w:val="00DA46BF"/>
    <w:rsid w:val="00E53B7A"/>
    <w:rsid w:val="00E56FD9"/>
    <w:rsid w:val="00E6031A"/>
    <w:rsid w:val="00E8068B"/>
    <w:rsid w:val="00ED2322"/>
    <w:rsid w:val="00F67144"/>
    <w:rsid w:val="00F750D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2732"/>
    <w:rPr>
      <w:color w:val="808080"/>
    </w:rPr>
  </w:style>
  <w:style w:type="paragraph" w:customStyle="1" w:styleId="159FFE91E9B943E1B9E2BFE760E6FBDA">
    <w:name w:val="159FFE91E9B943E1B9E2BFE760E6FBDA"/>
    <w:rsid w:val="00F750D0"/>
    <w:pPr>
      <w:bidi/>
    </w:pPr>
  </w:style>
  <w:style w:type="paragraph" w:customStyle="1" w:styleId="FE8359DB458E4A8889C1DA8DF32AA462">
    <w:name w:val="FE8359DB458E4A8889C1DA8DF32AA462"/>
    <w:rsid w:val="006D273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2B0F8-3A24-46D1-9636-1CF7EE351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3348</Words>
  <Characters>16576</Characters>
  <Application>Microsoft Office Word</Application>
  <DocSecurity>4</DocSecurity>
  <Lines>2368</Lines>
  <Paragraphs>996</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18928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Nofar hadar</dc:creator>
  <cp:keywords/>
  <dc:description/>
  <cp:lastModifiedBy>Melita Shafir</cp:lastModifiedBy>
  <cp:revision>2</cp:revision>
  <cp:lastPrinted>2021-08-01T11:19:00Z</cp:lastPrinted>
  <dcterms:created xsi:type="dcterms:W3CDTF">2021-08-01T12:33:00Z</dcterms:created>
  <dcterms:modified xsi:type="dcterms:W3CDTF">2021-08-01T12:33:00Z</dcterms:modified>
</cp:coreProperties>
</file>